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C9" w:rsidRPr="00B2142C" w:rsidRDefault="00417000" w:rsidP="0013425C">
      <w:pPr>
        <w:spacing w:after="0"/>
        <w:rPr>
          <w:rFonts w:ascii="Arial" w:hAnsi="Arial" w:cs="Arial"/>
          <w:sz w:val="44"/>
          <w:szCs w:val="44"/>
          <w:lang w:val="fr-FR"/>
        </w:rPr>
      </w:pPr>
      <w:r>
        <w:rPr>
          <w:rFonts w:ascii="Arial" w:hAnsi="Arial"/>
          <w:smallCaps/>
          <w:noProof/>
          <w:color w:val="FFFFFF" w:themeColor="background1"/>
          <w:sz w:val="44"/>
          <w:szCs w:val="44"/>
          <w:lang w:val="en-US"/>
        </w:rPr>
        <mc:AlternateContent>
          <mc:Choice Requires="wps">
            <w:drawing>
              <wp:anchor distT="0" distB="0" distL="114300" distR="114300" simplePos="0" relativeHeight="251659264" behindDoc="1" locked="0" layoutInCell="1" allowOverlap="1">
                <wp:simplePos x="0" y="0"/>
                <wp:positionH relativeFrom="column">
                  <wp:posOffset>-473075</wp:posOffset>
                </wp:positionH>
                <wp:positionV relativeFrom="paragraph">
                  <wp:posOffset>-173355</wp:posOffset>
                </wp:positionV>
                <wp:extent cx="7475220" cy="16592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75220" cy="1659255"/>
                        </a:xfrm>
                        <a:prstGeom prst="rect">
                          <a:avLst/>
                        </a:prstGeom>
                        <a:solidFill>
                          <a:srgbClr val="726E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25pt;margin-top:-13.65pt;width:588.6pt;height:1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9ioQIAAJ8FAAAOAAAAZHJzL2Uyb0RvYy54bWysVFFv2yAQfp+0/4B4X51YcbNGdaqoXadJ&#10;UVe1nfpMMMTWMMeAxMl+/Q6w3ayr9jDND8hw331393Hc5dWhVWQvrGtAl3R6NqFEaA5Vo7cl/fZ0&#10;++EjJc4zXTEFWpT0KBy9Wr5/d9mZhcihBlUJS5BEu0VnSlp7bxZZ5ngtWubOwAiNRgm2ZR63dptV&#10;lnXI3qosn0zOsw5sZSxw4Rye3iQjXUZ+KQX3X6V0whNVUszNx9XGdRPWbHnJFlvLTN3wPg32D1m0&#10;rNEYdKS6YZ6RnW3+oGobbsGB9Gcc2gykbLiINWA108mrah5rZkSsBcVxZpTJ/T9afre/t6Sp8O4o&#10;0azFK3pA0ZjeKkGmQZ7OuAWiHs29DQU6swb+3aEh+80SNq7HHKRtAxbLI4eo9XHUWhw84Xg4n82L&#10;PMcr4WibnhcXeVGEcBlbDO7GOv9ZQEvCT0kt5hU1Zvu18wk6QGJmoJrqtlEqbux2c60s2TO8+Hl+&#10;/qnIe3Z3ClM6gDUEt8QYTmJlqZhYlj8qEXBKPwiJYmH6ecwktqkY4zDOhfbTZKpZJVL4YoLfED00&#10;dvCIlUbCwCwx/sjdEwzIRDJwpyx7fHAVsctH58nfEkvOo0eMDNqPzm2jwb5FoLCqPnLCDyIlaYJK&#10;G6iO2EoW0htzht82eG9r5vw9s/io8K5xUPivuEgFXUmh/6OkBvvzrfOAx15HKyUdPtKSuh87ZgUl&#10;6ovGV3Axnc3Cq46bWTEP/WRPLZtTi96114DtgJ2O2cXfgPdq+JUW2mecJ6sQFU1Mc4xdUu7tsLn2&#10;aXjgROJitYowfMmG+bV+NDyQB1VDXz4dnpk1ffN67Ps7GB40W7zq4YQNnhpWOw+yiQ3+omuvN06B&#10;2Dj9xApj5nQfUS9zdfkLAAD//wMAUEsDBBQABgAIAAAAIQDdbKNh4wAAAAwBAAAPAAAAZHJzL2Rv&#10;d25yZXYueG1sTI9NT8MwDIbvSPyHyEhc0JauHRSVphPiS0IaB7oddvQa05Y1TtVka/n3ZCe42fKj&#10;18+brybTiRMNrrWsYDGPQBBXVrdcK9huXmf3IJxH1thZJgU/5GBVXF7kmGk78iedSl+LEMIuQwWN&#10;930mpasaMujmticOty87GPRhHWqpBxxDuOlkHEV30mDL4UODPT01VB3Ko1FgvrlG+XbzUq7fn93H&#10;Yb1LRr1T6vpqenwA4WnyfzCc9YM6FMFpb4+snegUzNLlbUDDEKcJiDOxiOIUxF5BnCwjkEUu/5co&#10;fgEAAP//AwBQSwECLQAUAAYACAAAACEAtoM4kv4AAADhAQAAEwAAAAAAAAAAAAAAAAAAAAAAW0Nv&#10;bnRlbnRfVHlwZXNdLnhtbFBLAQItABQABgAIAAAAIQA4/SH/1gAAAJQBAAALAAAAAAAAAAAAAAAA&#10;AC8BAABfcmVscy8ucmVsc1BLAQItABQABgAIAAAAIQA5Rg9ioQIAAJ8FAAAOAAAAAAAAAAAAAAAA&#10;AC4CAABkcnMvZTJvRG9jLnhtbFBLAQItABQABgAIAAAAIQDdbKNh4wAAAAwBAAAPAAAAAAAAAAAA&#10;AAAAAPsEAABkcnMvZG93bnJldi54bWxQSwUGAAAAAAQABADzAAAACwYAAAAA&#10;" fillcolor="#726e52" stroked="f" strokeweight="1pt">
                <v:path arrowok="t"/>
              </v:rect>
            </w:pict>
          </mc:Fallback>
        </mc:AlternateContent>
      </w:r>
      <w:r w:rsidR="00F608C9" w:rsidRPr="00B2142C">
        <w:rPr>
          <w:rFonts w:ascii="Arial" w:hAnsi="Arial"/>
          <w:sz w:val="44"/>
          <w:szCs w:val="44"/>
          <w:lang w:val="fr-FR"/>
        </w:rPr>
        <w:t>Document d’information 3</w:t>
      </w:r>
    </w:p>
    <w:p w:rsidR="003441FD" w:rsidRPr="00B2142C" w:rsidRDefault="003441FD" w:rsidP="0013425C">
      <w:pPr>
        <w:spacing w:after="0"/>
        <w:rPr>
          <w:rFonts w:ascii="Arial" w:hAnsi="Arial" w:cs="Arial"/>
          <w:color w:val="FFFFFF" w:themeColor="background1"/>
          <w:sz w:val="44"/>
          <w:szCs w:val="44"/>
          <w:lang w:val="fr-FR"/>
        </w:rPr>
      </w:pPr>
      <w:r w:rsidRPr="00B2142C">
        <w:rPr>
          <w:rFonts w:ascii="Arial" w:hAnsi="Arial"/>
          <w:smallCaps/>
          <w:color w:val="FFFFFF" w:themeColor="background1"/>
          <w:sz w:val="44"/>
          <w:szCs w:val="44"/>
          <w:lang w:val="fr-FR"/>
        </w:rPr>
        <w:t xml:space="preserve">LE CONDITIONNEMENT NEUTRE DES PRODUITS DU TABAC : </w:t>
      </w:r>
      <w:r w:rsidR="008D0373" w:rsidRPr="00B2142C">
        <w:rPr>
          <w:rFonts w:ascii="Arial" w:hAnsi="Arial"/>
          <w:color w:val="FFFFFF" w:themeColor="background1"/>
          <w:sz w:val="44"/>
          <w:szCs w:val="44"/>
          <w:lang w:val="fr-FR"/>
        </w:rPr>
        <w:t>est-ce légal ?</w:t>
      </w:r>
    </w:p>
    <w:p w:rsidR="003441FD" w:rsidRPr="00B2142C" w:rsidRDefault="003441FD" w:rsidP="003441FD">
      <w:pPr>
        <w:pStyle w:val="ListParagraph"/>
        <w:numPr>
          <w:ilvl w:val="0"/>
          <w:numId w:val="7"/>
        </w:numPr>
        <w:spacing w:before="120" w:after="80"/>
        <w:ind w:left="357" w:hanging="357"/>
        <w:contextualSpacing w:val="0"/>
        <w:rPr>
          <w:rFonts w:ascii="Arial" w:hAnsi="Arial" w:cs="Arial"/>
          <w:color w:val="D0CECE" w:themeColor="background2" w:themeShade="E6"/>
          <w:sz w:val="32"/>
          <w:szCs w:val="32"/>
          <w:lang w:val="fr-FR"/>
        </w:rPr>
        <w:sectPr w:rsidR="003441FD" w:rsidRPr="00B2142C" w:rsidSect="00C026C7">
          <w:footerReference w:type="default" r:id="rId9"/>
          <w:endnotePr>
            <w:numFmt w:val="decimal"/>
          </w:endnotePr>
          <w:pgSz w:w="11906" w:h="16838"/>
          <w:pgMar w:top="720" w:right="720" w:bottom="720" w:left="720" w:header="708" w:footer="708" w:gutter="0"/>
          <w:cols w:space="708"/>
          <w:docGrid w:linePitch="360"/>
        </w:sectPr>
      </w:pPr>
    </w:p>
    <w:p w:rsidR="00C91605" w:rsidRPr="00B2142C" w:rsidRDefault="00C91605" w:rsidP="00F608C9">
      <w:pPr>
        <w:spacing w:before="480" w:after="80" w:line="240" w:lineRule="auto"/>
        <w:ind w:left="567" w:right="2529"/>
        <w:rPr>
          <w:rFonts w:ascii="Arial" w:hAnsi="Arial"/>
          <w:b/>
          <w:color w:val="666633"/>
          <w:sz w:val="32"/>
          <w:szCs w:val="36"/>
          <w:lang w:val="fr-FR"/>
        </w:rPr>
      </w:pPr>
    </w:p>
    <w:p w:rsidR="003441FD" w:rsidRPr="00B2142C" w:rsidRDefault="00417000" w:rsidP="00F608C9">
      <w:pPr>
        <w:spacing w:before="480" w:after="80" w:line="240" w:lineRule="auto"/>
        <w:ind w:left="567" w:right="2529"/>
        <w:rPr>
          <w:rFonts w:ascii="Arial" w:hAnsi="Arial" w:cs="Arial"/>
          <w:b/>
          <w:color w:val="666633"/>
          <w:sz w:val="32"/>
          <w:szCs w:val="36"/>
          <w:lang w:val="fr-FR"/>
        </w:rPr>
      </w:pPr>
      <w:r>
        <w:rPr>
          <w:b/>
          <w:noProof/>
          <w:sz w:val="20"/>
          <w:lang w:val="en-US"/>
        </w:rPr>
        <w:drawing>
          <wp:anchor distT="0" distB="0" distL="114300" distR="114300" simplePos="0" relativeHeight="251661312" behindDoc="0" locked="0" layoutInCell="1" allowOverlap="1">
            <wp:simplePos x="0" y="0"/>
            <wp:positionH relativeFrom="column">
              <wp:posOffset>5481320</wp:posOffset>
            </wp:positionH>
            <wp:positionV relativeFrom="paragraph">
              <wp:posOffset>272415</wp:posOffset>
            </wp:positionV>
            <wp:extent cx="1186815" cy="1906270"/>
            <wp:effectExtent l="0" t="0" r="0" b="0"/>
            <wp:wrapNone/>
            <wp:docPr id="5" name="Picture 5" descr="Bondstreet_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ndstreet_A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6815" cy="1906270"/>
                    </a:xfrm>
                    <a:prstGeom prst="rect">
                      <a:avLst/>
                    </a:prstGeom>
                    <a:noFill/>
                  </pic:spPr>
                </pic:pic>
              </a:graphicData>
            </a:graphic>
            <wp14:sizeRelH relativeFrom="page">
              <wp14:pctWidth>0</wp14:pctWidth>
            </wp14:sizeRelH>
            <wp14:sizeRelV relativeFrom="page">
              <wp14:pctHeight>0</wp14:pctHeight>
            </wp14:sizeRelV>
          </wp:anchor>
        </w:drawing>
      </w:r>
      <w:r w:rsidR="003B060C" w:rsidRPr="00B2142C">
        <w:rPr>
          <w:rFonts w:ascii="Arial" w:hAnsi="Arial"/>
          <w:b/>
          <w:color w:val="666633"/>
          <w:sz w:val="32"/>
          <w:szCs w:val="36"/>
          <w:lang w:val="fr-FR"/>
        </w:rPr>
        <w:t>Les fabricants de tabac affirment que le conditionnement neutre est illégal, est-ce vrai ?</w:t>
      </w:r>
    </w:p>
    <w:p w:rsidR="003441FD" w:rsidRPr="00B2142C" w:rsidRDefault="003441FD" w:rsidP="00B140FD">
      <w:pPr>
        <w:pStyle w:val="ListParagraph"/>
        <w:numPr>
          <w:ilvl w:val="0"/>
          <w:numId w:val="4"/>
        </w:numPr>
        <w:spacing w:after="80"/>
        <w:ind w:left="567" w:right="2528" w:firstLine="0"/>
        <w:contextualSpacing w:val="0"/>
        <w:rPr>
          <w:lang w:val="fr-FR"/>
        </w:rPr>
        <w:sectPr w:rsidR="003441FD" w:rsidRPr="00B2142C" w:rsidSect="003441FD">
          <w:endnotePr>
            <w:numFmt w:val="decimal"/>
          </w:endnotePr>
          <w:type w:val="continuous"/>
          <w:pgSz w:w="11906" w:h="16838"/>
          <w:pgMar w:top="720" w:right="720" w:bottom="720" w:left="720" w:header="708" w:footer="708" w:gutter="0"/>
          <w:cols w:space="708"/>
          <w:docGrid w:linePitch="360"/>
        </w:sectPr>
      </w:pPr>
    </w:p>
    <w:p w:rsidR="003441FD" w:rsidRPr="00B2142C" w:rsidRDefault="00C026C7" w:rsidP="00B140FD">
      <w:pPr>
        <w:spacing w:after="120"/>
        <w:ind w:left="567" w:right="2529"/>
        <w:jc w:val="both"/>
        <w:rPr>
          <w:rFonts w:ascii="Arial" w:hAnsi="Arial" w:cs="Arial"/>
          <w:lang w:val="fr-FR"/>
        </w:rPr>
      </w:pPr>
      <w:r w:rsidRPr="00B2142C">
        <w:rPr>
          <w:rFonts w:ascii="Arial" w:hAnsi="Arial"/>
          <w:lang w:val="fr-FR"/>
        </w:rPr>
        <w:lastRenderedPageBreak/>
        <w:t>Les</w:t>
      </w:r>
      <w:r w:rsidRPr="00B2142C">
        <w:rPr>
          <w:rFonts w:ascii="Arial" w:hAnsi="Arial"/>
          <w:b/>
          <w:lang w:val="fr-FR"/>
        </w:rPr>
        <w:t xml:space="preserve"> lois sur le conditionnement neutre ont été reconnues comme étant légales par les cours et </w:t>
      </w:r>
      <w:r w:rsidR="00C91605" w:rsidRPr="00B2142C">
        <w:rPr>
          <w:rFonts w:ascii="Arial" w:hAnsi="Arial"/>
          <w:b/>
          <w:lang w:val="fr-FR"/>
        </w:rPr>
        <w:t xml:space="preserve">les </w:t>
      </w:r>
      <w:r w:rsidRPr="00B2142C">
        <w:rPr>
          <w:rFonts w:ascii="Arial" w:hAnsi="Arial"/>
          <w:b/>
          <w:lang w:val="fr-FR"/>
        </w:rPr>
        <w:t>tribunaux nationaux, régionaux et internationaux</w:t>
      </w:r>
      <w:r w:rsidRPr="00B2142C">
        <w:rPr>
          <w:rFonts w:ascii="Arial" w:hAnsi="Arial"/>
          <w:lang w:val="fr-FR"/>
        </w:rPr>
        <w:t xml:space="preserve">, qui ont estimé que tous les arguments juridiques mis en avant par les fabricants de tabac étaient incorrects. </w:t>
      </w:r>
    </w:p>
    <w:p w:rsidR="003441FD" w:rsidRPr="00B2142C" w:rsidRDefault="003441FD" w:rsidP="00B140FD">
      <w:pPr>
        <w:spacing w:after="120"/>
        <w:ind w:left="567" w:right="2529"/>
        <w:jc w:val="both"/>
        <w:rPr>
          <w:rFonts w:ascii="Arial" w:hAnsi="Arial" w:cs="Arial"/>
          <w:lang w:val="fr-FR"/>
        </w:rPr>
      </w:pPr>
      <w:r w:rsidRPr="00B2142C">
        <w:rPr>
          <w:rFonts w:ascii="Arial" w:hAnsi="Arial"/>
          <w:lang w:val="fr-FR"/>
        </w:rPr>
        <w:t xml:space="preserve">Le conditionnement neutre est recommandé par les directives pour l’application des articles 11 et 13 de la Convention-cadre de l’OMS pour la lutte antitabac, l’un des traités internationaux les plus largement ratifiés dans le monde.  </w:t>
      </w:r>
    </w:p>
    <w:p w:rsidR="003441FD" w:rsidRPr="00B2142C" w:rsidRDefault="003441FD" w:rsidP="00B140FD">
      <w:pPr>
        <w:spacing w:after="120"/>
        <w:ind w:left="567" w:right="2529"/>
        <w:jc w:val="both"/>
        <w:rPr>
          <w:lang w:val="fr-FR"/>
        </w:rPr>
      </w:pPr>
      <w:r w:rsidRPr="00B2142C">
        <w:rPr>
          <w:rFonts w:ascii="Arial" w:hAnsi="Arial"/>
          <w:lang w:val="fr-FR"/>
        </w:rPr>
        <w:t>Si</w:t>
      </w:r>
      <w:r w:rsidR="00C91605" w:rsidRPr="00B2142C">
        <w:rPr>
          <w:rFonts w:ascii="Arial" w:hAnsi="Arial"/>
          <w:lang w:val="fr-FR"/>
        </w:rPr>
        <w:t xml:space="preserve"> elles sont</w:t>
      </w:r>
      <w:r w:rsidRPr="00B2142C">
        <w:rPr>
          <w:rFonts w:ascii="Arial" w:hAnsi="Arial"/>
          <w:lang w:val="fr-FR"/>
        </w:rPr>
        <w:t xml:space="preserve"> est adopté</w:t>
      </w:r>
      <w:r w:rsidR="00C91605" w:rsidRPr="00B2142C">
        <w:rPr>
          <w:rFonts w:ascii="Arial" w:hAnsi="Arial"/>
          <w:lang w:val="fr-FR"/>
        </w:rPr>
        <w:t>es</w:t>
      </w:r>
      <w:r w:rsidRPr="00B2142C">
        <w:rPr>
          <w:rFonts w:ascii="Arial" w:hAnsi="Arial"/>
          <w:lang w:val="fr-FR"/>
        </w:rPr>
        <w:t xml:space="preserve"> par le biais des dispositifs législatifs, constitutionnels et administratifs nationaux appropriés, il n’existe aucune raison de considérer que les lois sur le conditionnement neutre sont illégales.</w:t>
      </w:r>
      <w:r w:rsidRPr="00B2142C">
        <w:rPr>
          <w:lang w:val="fr-FR"/>
        </w:rPr>
        <w:t xml:space="preserve"> </w:t>
      </w:r>
    </w:p>
    <w:p w:rsidR="003441FD" w:rsidRPr="00B2142C" w:rsidRDefault="003441FD" w:rsidP="00B140FD">
      <w:pPr>
        <w:spacing w:after="120"/>
        <w:ind w:left="567" w:right="2528"/>
        <w:rPr>
          <w:b/>
          <w:color w:val="666633"/>
          <w:lang w:val="fr-FR"/>
        </w:rPr>
        <w:sectPr w:rsidR="003441FD" w:rsidRPr="00B2142C" w:rsidSect="003441FD">
          <w:endnotePr>
            <w:numFmt w:val="decimal"/>
          </w:endnotePr>
          <w:type w:val="continuous"/>
          <w:pgSz w:w="11906" w:h="16838"/>
          <w:pgMar w:top="720" w:right="720" w:bottom="720" w:left="720" w:header="708" w:footer="708" w:gutter="0"/>
          <w:cols w:space="286"/>
          <w:docGrid w:linePitch="360"/>
        </w:sectPr>
      </w:pPr>
    </w:p>
    <w:p w:rsidR="003441FD" w:rsidRPr="00B2142C" w:rsidRDefault="00770345" w:rsidP="00B140FD">
      <w:pPr>
        <w:spacing w:before="480" w:after="80" w:line="240" w:lineRule="auto"/>
        <w:ind w:left="567" w:right="403"/>
        <w:rPr>
          <w:rFonts w:ascii="Arial" w:hAnsi="Arial" w:cs="Arial"/>
          <w:b/>
          <w:color w:val="666633"/>
          <w:sz w:val="32"/>
          <w:szCs w:val="36"/>
          <w:lang w:val="fr-FR"/>
        </w:rPr>
      </w:pPr>
      <w:r w:rsidRPr="00B2142C">
        <w:rPr>
          <w:rFonts w:ascii="Arial" w:hAnsi="Arial"/>
          <w:b/>
          <w:color w:val="666633"/>
          <w:sz w:val="32"/>
          <w:szCs w:val="36"/>
          <w:lang w:val="fr-FR"/>
        </w:rPr>
        <w:lastRenderedPageBreak/>
        <w:t>Recours juridictionnels</w:t>
      </w:r>
      <w:r w:rsidR="003441FD" w:rsidRPr="00B2142C">
        <w:rPr>
          <w:rFonts w:ascii="Arial" w:hAnsi="Arial"/>
          <w:b/>
          <w:color w:val="666633"/>
          <w:sz w:val="32"/>
          <w:szCs w:val="36"/>
          <w:lang w:val="fr-FR"/>
        </w:rPr>
        <w:t xml:space="preserve"> contre les lois sur le conditionnement </w:t>
      </w:r>
      <w:proofErr w:type="gramStart"/>
      <w:r w:rsidR="003441FD" w:rsidRPr="00B2142C">
        <w:rPr>
          <w:rFonts w:ascii="Arial" w:hAnsi="Arial"/>
          <w:b/>
          <w:color w:val="666633"/>
          <w:sz w:val="32"/>
          <w:szCs w:val="36"/>
          <w:lang w:val="fr-FR"/>
        </w:rPr>
        <w:t>neutre</w:t>
      </w:r>
      <w:proofErr w:type="gramEnd"/>
      <w:r w:rsidR="003441FD" w:rsidRPr="00B2142C">
        <w:rPr>
          <w:rFonts w:ascii="Arial" w:hAnsi="Arial"/>
          <w:b/>
          <w:color w:val="666633"/>
          <w:sz w:val="32"/>
          <w:szCs w:val="36"/>
          <w:lang w:val="fr-FR"/>
        </w:rPr>
        <w:t> :</w:t>
      </w:r>
    </w:p>
    <w:p w:rsidR="003441FD" w:rsidRPr="00B2142C" w:rsidRDefault="00C91605" w:rsidP="0079461E">
      <w:pPr>
        <w:spacing w:after="120" w:line="240" w:lineRule="auto"/>
        <w:ind w:left="567" w:right="1110"/>
        <w:rPr>
          <w:rFonts w:ascii="Arial" w:hAnsi="Arial" w:cs="Arial"/>
          <w:lang w:val="fr-FR"/>
        </w:rPr>
      </w:pPr>
      <w:r w:rsidRPr="00B2142C">
        <w:rPr>
          <w:rFonts w:ascii="Arial" w:hAnsi="Arial"/>
          <w:lang w:val="fr-FR"/>
        </w:rPr>
        <w:t xml:space="preserve">Depuis </w:t>
      </w:r>
      <w:r w:rsidR="00770345" w:rsidRPr="00B2142C">
        <w:rPr>
          <w:rFonts w:ascii="Arial" w:hAnsi="Arial"/>
          <w:lang w:val="fr-FR"/>
        </w:rPr>
        <w:t>novembre 2017, tous</w:t>
      </w:r>
      <w:r w:rsidR="00C026C7" w:rsidRPr="00B2142C">
        <w:rPr>
          <w:rFonts w:ascii="Arial" w:hAnsi="Arial"/>
          <w:lang w:val="fr-FR"/>
        </w:rPr>
        <w:t xml:space="preserve"> les </w:t>
      </w:r>
      <w:r w:rsidR="00770345" w:rsidRPr="00B2142C">
        <w:rPr>
          <w:rFonts w:ascii="Arial" w:hAnsi="Arial"/>
          <w:lang w:val="fr-FR"/>
        </w:rPr>
        <w:t>recours juridictionnels</w:t>
      </w:r>
      <w:r w:rsidR="00C026C7" w:rsidRPr="00B2142C">
        <w:rPr>
          <w:rFonts w:ascii="Arial" w:hAnsi="Arial"/>
          <w:lang w:val="fr-FR"/>
        </w:rPr>
        <w:t xml:space="preserve"> contre les lois sur le conditionnement neutre qui ont été tranchés ont confirmé la légalité de ces lois :</w:t>
      </w:r>
    </w:p>
    <w:p w:rsidR="00A80810" w:rsidRPr="00B2142C" w:rsidRDefault="006B6527" w:rsidP="00B140FD">
      <w:pPr>
        <w:spacing w:before="120" w:after="0" w:line="240" w:lineRule="auto"/>
        <w:ind w:left="567" w:right="1252"/>
        <w:jc w:val="both"/>
        <w:rPr>
          <w:rFonts w:ascii="Arial" w:hAnsi="Arial" w:cs="Arial"/>
          <w:b/>
          <w:lang w:val="fr-FR"/>
        </w:rPr>
      </w:pPr>
      <w:r w:rsidRPr="00B2142C">
        <w:rPr>
          <w:rFonts w:ascii="Arial" w:hAnsi="Arial"/>
          <w:b/>
          <w:lang w:val="fr-FR"/>
        </w:rPr>
        <w:t>AUSTRALIE</w:t>
      </w:r>
    </w:p>
    <w:p w:rsidR="00A80810" w:rsidRPr="00B2142C" w:rsidRDefault="00770345" w:rsidP="00B140FD">
      <w:pPr>
        <w:spacing w:after="0" w:line="240" w:lineRule="auto"/>
        <w:ind w:left="567" w:right="1252"/>
        <w:jc w:val="both"/>
        <w:rPr>
          <w:rFonts w:ascii="Arial" w:hAnsi="Arial" w:cs="Arial"/>
          <w:lang w:val="fr-FR"/>
        </w:rPr>
      </w:pPr>
      <w:r w:rsidRPr="00B2142C">
        <w:rPr>
          <w:rFonts w:ascii="Arial" w:hAnsi="Arial"/>
          <w:lang w:val="fr-FR"/>
        </w:rPr>
        <w:t>Recours</w:t>
      </w:r>
      <w:r w:rsidR="006B6527" w:rsidRPr="00B2142C">
        <w:rPr>
          <w:rFonts w:ascii="Arial" w:hAnsi="Arial"/>
          <w:lang w:val="fr-FR"/>
        </w:rPr>
        <w:t xml:space="preserve"> </w:t>
      </w:r>
      <w:r w:rsidR="00A80810" w:rsidRPr="00B2142C">
        <w:rPr>
          <w:rFonts w:ascii="Arial" w:hAnsi="Arial"/>
          <w:lang w:val="fr-FR"/>
        </w:rPr>
        <w:t>constitutionnel devant la Haute Cour d’Australie</w:t>
      </w:r>
      <w:r w:rsidR="00A80810" w:rsidRPr="00A80810">
        <w:rPr>
          <w:rStyle w:val="EndnoteReference"/>
          <w:rFonts w:ascii="Arial" w:hAnsi="Arial" w:cs="Arial"/>
        </w:rPr>
        <w:endnoteReference w:id="1"/>
      </w:r>
      <w:r w:rsidR="00B2142C">
        <w:rPr>
          <w:rFonts w:ascii="Arial" w:hAnsi="Arial"/>
          <w:lang w:val="fr-FR"/>
        </w:rPr>
        <w:t xml:space="preserve"> </w:t>
      </w:r>
      <w:r w:rsidR="00B2142C" w:rsidRPr="00B2142C">
        <w:rPr>
          <w:rFonts w:ascii="Arial" w:hAnsi="Arial"/>
          <w:lang w:val="fr-FR"/>
        </w:rPr>
        <w:t>—</w:t>
      </w:r>
      <w:r w:rsidR="00B2142C">
        <w:rPr>
          <w:rFonts w:ascii="Arial" w:hAnsi="Arial"/>
          <w:lang w:val="fr-FR"/>
        </w:rPr>
        <w:t xml:space="preserve"> </w:t>
      </w:r>
      <w:bookmarkStart w:id="0" w:name="_GoBack"/>
      <w:bookmarkEnd w:id="0"/>
      <w:r w:rsidR="00A80810" w:rsidRPr="00B2142C">
        <w:rPr>
          <w:rFonts w:ascii="Arial" w:hAnsi="Arial"/>
          <w:b/>
          <w:lang w:val="fr-FR"/>
        </w:rPr>
        <w:t>rejeté</w:t>
      </w:r>
      <w:r w:rsidR="006B6527" w:rsidRPr="00B2142C">
        <w:rPr>
          <w:rFonts w:ascii="Arial" w:hAnsi="Arial"/>
          <w:lang w:val="fr-FR"/>
        </w:rPr>
        <w:t xml:space="preserve"> A</w:t>
      </w:r>
      <w:r w:rsidR="00A80810" w:rsidRPr="00B2142C">
        <w:rPr>
          <w:rFonts w:ascii="Arial" w:hAnsi="Arial"/>
          <w:lang w:val="fr-FR"/>
        </w:rPr>
        <w:t>oût 2012</w:t>
      </w:r>
    </w:p>
    <w:p w:rsidR="00A80810" w:rsidRPr="00B2142C" w:rsidRDefault="00A80810" w:rsidP="00B2142C">
      <w:pPr>
        <w:spacing w:after="0" w:line="240" w:lineRule="auto"/>
        <w:ind w:left="567" w:right="746"/>
        <w:jc w:val="both"/>
        <w:rPr>
          <w:rFonts w:ascii="Arial" w:hAnsi="Arial" w:cs="Arial"/>
          <w:lang w:val="fr-FR"/>
        </w:rPr>
      </w:pPr>
      <w:r w:rsidRPr="00B2142C">
        <w:rPr>
          <w:rFonts w:ascii="Arial" w:hAnsi="Arial"/>
          <w:lang w:val="fr-FR"/>
        </w:rPr>
        <w:t>Demande d’arbitrage international relatif à des investissements</w:t>
      </w:r>
      <w:r w:rsidRPr="00A80810">
        <w:rPr>
          <w:rStyle w:val="EndnoteReference"/>
          <w:rFonts w:ascii="Arial" w:hAnsi="Arial" w:cs="Arial"/>
        </w:rPr>
        <w:endnoteReference w:id="2"/>
      </w:r>
      <w:r w:rsidRPr="00B2142C">
        <w:rPr>
          <w:rFonts w:ascii="Arial" w:hAnsi="Arial"/>
          <w:lang w:val="fr-FR"/>
        </w:rPr>
        <w:t xml:space="preserve"> </w:t>
      </w:r>
      <w:r w:rsidR="00B2142C" w:rsidRPr="00B2142C">
        <w:rPr>
          <w:rFonts w:ascii="Arial" w:hAnsi="Arial"/>
          <w:lang w:val="fr-FR"/>
        </w:rPr>
        <w:t>—</w:t>
      </w:r>
      <w:r w:rsidR="00B2142C">
        <w:rPr>
          <w:rFonts w:ascii="Arial" w:hAnsi="Arial"/>
          <w:lang w:val="fr-FR"/>
        </w:rPr>
        <w:t xml:space="preserve"> </w:t>
      </w:r>
      <w:r w:rsidRPr="00B2142C">
        <w:rPr>
          <w:rFonts w:ascii="Arial" w:hAnsi="Arial"/>
          <w:b/>
          <w:lang w:val="fr-FR"/>
        </w:rPr>
        <w:t>rejeté</w:t>
      </w:r>
      <w:r w:rsidRPr="00B2142C">
        <w:rPr>
          <w:rFonts w:ascii="Arial" w:hAnsi="Arial"/>
          <w:lang w:val="fr-FR"/>
        </w:rPr>
        <w:t xml:space="preserve"> </w:t>
      </w:r>
      <w:r w:rsidR="006B6527" w:rsidRPr="00B2142C">
        <w:rPr>
          <w:rFonts w:ascii="Arial" w:hAnsi="Arial"/>
          <w:lang w:val="fr-FR"/>
        </w:rPr>
        <w:t>D</w:t>
      </w:r>
      <w:r w:rsidRPr="00B2142C">
        <w:rPr>
          <w:rFonts w:ascii="Arial" w:hAnsi="Arial"/>
          <w:lang w:val="fr-FR"/>
        </w:rPr>
        <w:t>écembre 2015</w:t>
      </w:r>
    </w:p>
    <w:p w:rsidR="00A80810" w:rsidRPr="00B2142C" w:rsidRDefault="00A80810" w:rsidP="00B140FD">
      <w:pPr>
        <w:spacing w:after="0" w:line="240" w:lineRule="auto"/>
        <w:ind w:left="567" w:right="1252"/>
        <w:jc w:val="both"/>
        <w:rPr>
          <w:rFonts w:ascii="Arial" w:hAnsi="Arial" w:cs="Arial"/>
          <w:b/>
          <w:lang w:val="fr-FR"/>
        </w:rPr>
      </w:pPr>
      <w:r w:rsidRPr="00B2142C">
        <w:rPr>
          <w:rFonts w:ascii="Arial" w:hAnsi="Arial"/>
          <w:lang w:val="fr-FR"/>
        </w:rPr>
        <w:t xml:space="preserve">Plainte devant l’organe d’arbitrage de l’OMC </w:t>
      </w:r>
      <w:r w:rsidRPr="00B2142C">
        <w:rPr>
          <w:rFonts w:ascii="Arial" w:hAnsi="Arial"/>
          <w:lang w:val="fr-FR"/>
        </w:rPr>
        <w:tab/>
      </w:r>
      <w:r w:rsidRPr="00B2142C">
        <w:rPr>
          <w:rFonts w:ascii="Arial" w:hAnsi="Arial"/>
          <w:lang w:val="fr-FR"/>
        </w:rPr>
        <w:tab/>
        <w:t xml:space="preserve">— </w:t>
      </w:r>
      <w:r w:rsidRPr="00B2142C">
        <w:rPr>
          <w:rFonts w:ascii="Arial" w:hAnsi="Arial"/>
          <w:lang w:val="fr-FR"/>
        </w:rPr>
        <w:tab/>
        <w:t>décision attendue en 2017</w:t>
      </w:r>
    </w:p>
    <w:p w:rsidR="00A80810" w:rsidRPr="00B2142C" w:rsidRDefault="00A80810" w:rsidP="00B140FD">
      <w:pPr>
        <w:tabs>
          <w:tab w:val="left" w:pos="284"/>
        </w:tabs>
        <w:spacing w:before="120" w:after="0" w:line="240" w:lineRule="auto"/>
        <w:ind w:left="567" w:right="1252"/>
        <w:jc w:val="both"/>
        <w:rPr>
          <w:rFonts w:ascii="Arial" w:hAnsi="Arial" w:cs="Arial"/>
          <w:b/>
          <w:lang w:val="fr-FR"/>
        </w:rPr>
      </w:pPr>
      <w:r w:rsidRPr="00B2142C">
        <w:rPr>
          <w:rFonts w:ascii="Arial" w:hAnsi="Arial"/>
          <w:b/>
          <w:lang w:val="fr-FR"/>
        </w:rPr>
        <w:t>ROYAUME-UNI</w:t>
      </w:r>
    </w:p>
    <w:p w:rsidR="0013425C" w:rsidRPr="00B2142C" w:rsidRDefault="00C026C7" w:rsidP="00B2142C">
      <w:pPr>
        <w:spacing w:after="0" w:line="240" w:lineRule="auto"/>
        <w:ind w:left="567" w:right="656"/>
        <w:jc w:val="both"/>
        <w:rPr>
          <w:rFonts w:ascii="Arial" w:hAnsi="Arial" w:cs="Arial"/>
          <w:lang w:val="fr-FR"/>
        </w:rPr>
      </w:pPr>
      <w:r w:rsidRPr="00B2142C">
        <w:rPr>
          <w:rFonts w:ascii="Arial" w:hAnsi="Arial"/>
          <w:lang w:val="fr-FR"/>
        </w:rPr>
        <w:t>Cinq plaintes devant la Haute Cour d’Anglete</w:t>
      </w:r>
      <w:r w:rsidR="006B6527" w:rsidRPr="00B2142C">
        <w:rPr>
          <w:rFonts w:ascii="Arial" w:hAnsi="Arial"/>
          <w:lang w:val="fr-FR"/>
        </w:rPr>
        <w:t>rre</w:t>
      </w:r>
      <w:r w:rsidRPr="00B2142C">
        <w:rPr>
          <w:rFonts w:ascii="Arial" w:hAnsi="Arial"/>
          <w:lang w:val="fr-FR"/>
        </w:rPr>
        <w:t xml:space="preserve"> et du Pays de Galles</w:t>
      </w:r>
      <w:r w:rsidR="00A80810" w:rsidRPr="00A80810">
        <w:rPr>
          <w:rStyle w:val="EndnoteReference"/>
          <w:rFonts w:ascii="Arial" w:hAnsi="Arial" w:cs="Arial"/>
        </w:rPr>
        <w:endnoteReference w:id="3"/>
      </w:r>
      <w:r w:rsidRPr="00B2142C">
        <w:rPr>
          <w:rFonts w:ascii="Arial" w:hAnsi="Arial"/>
          <w:lang w:val="fr-FR"/>
        </w:rPr>
        <w:t xml:space="preserve"> </w:t>
      </w:r>
      <w:r w:rsidR="00B2142C" w:rsidRPr="00B2142C">
        <w:rPr>
          <w:rFonts w:ascii="Arial" w:hAnsi="Arial"/>
          <w:lang w:val="fr-FR"/>
        </w:rPr>
        <w:t>—</w:t>
      </w:r>
      <w:r w:rsidR="00B2142C">
        <w:rPr>
          <w:rFonts w:ascii="Arial" w:hAnsi="Arial"/>
          <w:lang w:val="fr-FR"/>
        </w:rPr>
        <w:t xml:space="preserve"> </w:t>
      </w:r>
      <w:r w:rsidRPr="00B2142C">
        <w:rPr>
          <w:rFonts w:ascii="Arial" w:hAnsi="Arial"/>
          <w:b/>
          <w:lang w:val="fr-FR"/>
        </w:rPr>
        <w:t>rejetées</w:t>
      </w:r>
      <w:r w:rsidRPr="00B2142C">
        <w:rPr>
          <w:rFonts w:ascii="Arial" w:hAnsi="Arial"/>
          <w:lang w:val="fr-FR"/>
        </w:rPr>
        <w:t xml:space="preserve"> </w:t>
      </w:r>
      <w:r w:rsidR="00B2142C">
        <w:rPr>
          <w:rFonts w:ascii="Arial" w:hAnsi="Arial"/>
          <w:lang w:val="fr-FR"/>
        </w:rPr>
        <w:tab/>
      </w:r>
      <w:r w:rsidR="006B6527" w:rsidRPr="00B2142C">
        <w:rPr>
          <w:rFonts w:ascii="Arial" w:hAnsi="Arial"/>
          <w:lang w:val="fr-FR"/>
        </w:rPr>
        <w:t>M</w:t>
      </w:r>
      <w:r w:rsidRPr="00B2142C">
        <w:rPr>
          <w:rFonts w:ascii="Arial" w:hAnsi="Arial"/>
          <w:lang w:val="fr-FR"/>
        </w:rPr>
        <w:t xml:space="preserve">ai 2016 </w:t>
      </w:r>
    </w:p>
    <w:p w:rsidR="00A80810" w:rsidRPr="00B2142C" w:rsidRDefault="006B6527" w:rsidP="00B140FD">
      <w:pPr>
        <w:spacing w:after="0" w:line="240" w:lineRule="auto"/>
        <w:ind w:left="567" w:right="1252"/>
        <w:jc w:val="both"/>
        <w:rPr>
          <w:rFonts w:ascii="Arial" w:hAnsi="Arial" w:cs="Arial"/>
          <w:lang w:val="fr-FR"/>
        </w:rPr>
      </w:pPr>
      <w:r w:rsidRPr="00B2142C">
        <w:rPr>
          <w:rFonts w:ascii="Arial" w:hAnsi="Arial"/>
          <w:lang w:val="fr-FR"/>
        </w:rPr>
        <w:t>Plainte devant la c</w:t>
      </w:r>
      <w:r w:rsidR="00A80810" w:rsidRPr="00B2142C">
        <w:rPr>
          <w:rFonts w:ascii="Arial" w:hAnsi="Arial"/>
          <w:lang w:val="fr-FR"/>
        </w:rPr>
        <w:t xml:space="preserve">our d’appel </w:t>
      </w:r>
      <w:r w:rsidR="00A80810" w:rsidRPr="00B2142C">
        <w:rPr>
          <w:rFonts w:ascii="Arial" w:hAnsi="Arial"/>
          <w:lang w:val="fr-FR"/>
        </w:rPr>
        <w:tab/>
      </w:r>
      <w:r w:rsidR="00A80810" w:rsidRPr="00B2142C">
        <w:rPr>
          <w:rFonts w:ascii="Arial" w:hAnsi="Arial"/>
          <w:lang w:val="fr-FR"/>
        </w:rPr>
        <w:tab/>
      </w:r>
      <w:r w:rsidR="00A80810" w:rsidRPr="00B2142C">
        <w:rPr>
          <w:rFonts w:ascii="Arial" w:hAnsi="Arial"/>
          <w:lang w:val="fr-FR"/>
        </w:rPr>
        <w:tab/>
      </w:r>
      <w:r w:rsidR="00A80810" w:rsidRPr="00B2142C">
        <w:rPr>
          <w:rFonts w:ascii="Arial" w:hAnsi="Arial"/>
          <w:lang w:val="fr-FR"/>
        </w:rPr>
        <w:tab/>
        <w:t>—</w:t>
      </w:r>
      <w:r w:rsidR="00A80810" w:rsidRPr="00B2142C">
        <w:rPr>
          <w:rFonts w:ascii="Arial" w:hAnsi="Arial"/>
          <w:lang w:val="fr-FR"/>
        </w:rPr>
        <w:tab/>
      </w:r>
      <w:r w:rsidR="00A80810" w:rsidRPr="00B2142C">
        <w:rPr>
          <w:rFonts w:ascii="Arial" w:hAnsi="Arial"/>
          <w:b/>
          <w:lang w:val="fr-FR"/>
        </w:rPr>
        <w:t>rejetée</w:t>
      </w:r>
      <w:r w:rsidRPr="00B2142C">
        <w:rPr>
          <w:rFonts w:ascii="Arial" w:hAnsi="Arial"/>
          <w:lang w:val="fr-FR"/>
        </w:rPr>
        <w:t xml:space="preserve"> D</w:t>
      </w:r>
      <w:r w:rsidR="00A80810" w:rsidRPr="00B2142C">
        <w:rPr>
          <w:rFonts w:ascii="Arial" w:hAnsi="Arial"/>
          <w:lang w:val="fr-FR"/>
        </w:rPr>
        <w:t>écembre 2016</w:t>
      </w:r>
    </w:p>
    <w:p w:rsidR="00A80810" w:rsidRPr="00B2142C" w:rsidRDefault="00A80810" w:rsidP="00B140FD">
      <w:pPr>
        <w:spacing w:before="120" w:after="0" w:line="240" w:lineRule="auto"/>
        <w:ind w:left="567" w:right="1252"/>
        <w:jc w:val="both"/>
        <w:rPr>
          <w:rFonts w:ascii="Arial" w:hAnsi="Arial" w:cs="Arial"/>
          <w:b/>
          <w:lang w:val="fr-FR"/>
        </w:rPr>
      </w:pPr>
      <w:r w:rsidRPr="00B2142C">
        <w:rPr>
          <w:rFonts w:ascii="Arial" w:hAnsi="Arial"/>
          <w:b/>
          <w:lang w:val="fr-FR"/>
        </w:rPr>
        <w:t>FRANCE</w:t>
      </w:r>
    </w:p>
    <w:p w:rsidR="00A80810" w:rsidRPr="00B2142C" w:rsidRDefault="004659CC" w:rsidP="00B140FD">
      <w:pPr>
        <w:pStyle w:val="ListParagraph"/>
        <w:spacing w:after="0" w:line="240" w:lineRule="auto"/>
        <w:ind w:left="567" w:right="1252"/>
        <w:contextualSpacing w:val="0"/>
        <w:jc w:val="both"/>
        <w:rPr>
          <w:rFonts w:ascii="Arial" w:hAnsi="Arial" w:cs="Arial"/>
          <w:lang w:val="fr-FR"/>
        </w:rPr>
      </w:pPr>
      <w:r w:rsidRPr="00B2142C">
        <w:rPr>
          <w:rFonts w:ascii="Arial" w:hAnsi="Arial"/>
          <w:lang w:val="fr-FR"/>
        </w:rPr>
        <w:t>Recours devant le Conseil Constitutionnel</w:t>
      </w:r>
      <w:r w:rsidR="00A80810" w:rsidRPr="004659CC">
        <w:rPr>
          <w:rStyle w:val="EndnoteReference"/>
          <w:rFonts w:ascii="Arial" w:hAnsi="Arial" w:cs="Arial"/>
        </w:rPr>
        <w:endnoteReference w:id="4"/>
      </w:r>
      <w:r w:rsidRPr="00B2142C">
        <w:rPr>
          <w:rFonts w:ascii="Arial" w:hAnsi="Arial"/>
          <w:lang w:val="fr-FR"/>
        </w:rPr>
        <w:t xml:space="preserve"> </w:t>
      </w:r>
      <w:r w:rsidRPr="00B2142C">
        <w:rPr>
          <w:rFonts w:ascii="Arial" w:hAnsi="Arial"/>
          <w:lang w:val="fr-FR"/>
        </w:rPr>
        <w:tab/>
      </w:r>
      <w:r w:rsidRPr="00B2142C">
        <w:rPr>
          <w:rFonts w:ascii="Arial" w:hAnsi="Arial"/>
          <w:lang w:val="fr-FR"/>
        </w:rPr>
        <w:tab/>
        <w:t xml:space="preserve">— </w:t>
      </w:r>
      <w:r w:rsidRPr="00B2142C">
        <w:rPr>
          <w:rFonts w:ascii="Arial" w:hAnsi="Arial"/>
          <w:lang w:val="fr-FR"/>
        </w:rPr>
        <w:tab/>
      </w:r>
      <w:r w:rsidRPr="00B2142C">
        <w:rPr>
          <w:rFonts w:ascii="Arial" w:hAnsi="Arial"/>
          <w:b/>
          <w:lang w:val="fr-FR"/>
        </w:rPr>
        <w:t xml:space="preserve">rejeté </w:t>
      </w:r>
      <w:r w:rsidR="006B6527" w:rsidRPr="00B2142C">
        <w:rPr>
          <w:rFonts w:ascii="Arial" w:hAnsi="Arial"/>
          <w:lang w:val="fr-FR"/>
        </w:rPr>
        <w:t>Ja</w:t>
      </w:r>
      <w:r w:rsidRPr="00B2142C">
        <w:rPr>
          <w:rFonts w:ascii="Arial" w:hAnsi="Arial"/>
          <w:lang w:val="fr-FR"/>
        </w:rPr>
        <w:t>nvier 2016</w:t>
      </w:r>
    </w:p>
    <w:p w:rsidR="00A80810" w:rsidRPr="00B2142C" w:rsidRDefault="00417000" w:rsidP="00B140FD">
      <w:pPr>
        <w:pStyle w:val="ListParagraph"/>
        <w:spacing w:after="0" w:line="240" w:lineRule="auto"/>
        <w:ind w:left="567" w:right="1252"/>
        <w:contextualSpacing w:val="0"/>
        <w:jc w:val="both"/>
        <w:rPr>
          <w:rFonts w:ascii="Arial" w:hAnsi="Arial" w:cs="Arial"/>
          <w:lang w:val="fr-FR"/>
        </w:rPr>
      </w:pPr>
      <w:r>
        <w:rPr>
          <w:b/>
          <w:noProof/>
          <w:sz w:val="20"/>
          <w:lang w:val="en-US"/>
        </w:rPr>
        <w:drawing>
          <wp:anchor distT="0" distB="0" distL="114300" distR="114300" simplePos="0" relativeHeight="251665408" behindDoc="0" locked="0" layoutInCell="1" allowOverlap="1">
            <wp:simplePos x="0" y="0"/>
            <wp:positionH relativeFrom="column">
              <wp:posOffset>5793740</wp:posOffset>
            </wp:positionH>
            <wp:positionV relativeFrom="paragraph">
              <wp:posOffset>26035</wp:posOffset>
            </wp:positionV>
            <wp:extent cx="1132205" cy="1511300"/>
            <wp:effectExtent l="0" t="0" r="0" b="0"/>
            <wp:wrapNone/>
            <wp:docPr id="4" name="Picture 4" descr="VisuelGaulo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uelGaulois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2205" cy="1511300"/>
                    </a:xfrm>
                    <a:prstGeom prst="rect">
                      <a:avLst/>
                    </a:prstGeom>
                    <a:noFill/>
                  </pic:spPr>
                </pic:pic>
              </a:graphicData>
            </a:graphic>
            <wp14:sizeRelH relativeFrom="page">
              <wp14:pctWidth>0</wp14:pctWidth>
            </wp14:sizeRelH>
            <wp14:sizeRelV relativeFrom="page">
              <wp14:pctHeight>0</wp14:pctHeight>
            </wp14:sizeRelV>
          </wp:anchor>
        </w:drawing>
      </w:r>
      <w:r w:rsidR="00C026C7" w:rsidRPr="00B2142C">
        <w:rPr>
          <w:rFonts w:ascii="Arial" w:hAnsi="Arial"/>
          <w:lang w:val="fr-FR"/>
        </w:rPr>
        <w:t>Six recours devant le Conseil d’État</w:t>
      </w:r>
      <w:r w:rsidR="00A80810" w:rsidRPr="00A80810">
        <w:rPr>
          <w:rStyle w:val="EndnoteReference"/>
          <w:rFonts w:ascii="Arial" w:hAnsi="Arial" w:cs="Arial"/>
        </w:rPr>
        <w:endnoteReference w:id="5"/>
      </w:r>
      <w:r w:rsidR="00C026C7" w:rsidRPr="00B2142C">
        <w:rPr>
          <w:rFonts w:ascii="Arial" w:hAnsi="Arial"/>
          <w:lang w:val="fr-FR"/>
        </w:rPr>
        <w:t xml:space="preserve"> </w:t>
      </w:r>
      <w:r w:rsidR="00C026C7" w:rsidRPr="00B2142C">
        <w:rPr>
          <w:rFonts w:ascii="Arial" w:hAnsi="Arial"/>
          <w:lang w:val="fr-FR"/>
        </w:rPr>
        <w:tab/>
      </w:r>
      <w:r w:rsidR="00C026C7" w:rsidRPr="00B2142C">
        <w:rPr>
          <w:rFonts w:ascii="Arial" w:hAnsi="Arial"/>
          <w:lang w:val="fr-FR"/>
        </w:rPr>
        <w:tab/>
      </w:r>
      <w:r w:rsidR="00C026C7" w:rsidRPr="00B2142C">
        <w:rPr>
          <w:rFonts w:ascii="Arial" w:hAnsi="Arial"/>
          <w:lang w:val="fr-FR"/>
        </w:rPr>
        <w:tab/>
        <w:t xml:space="preserve">— </w:t>
      </w:r>
      <w:r w:rsidR="00C026C7" w:rsidRPr="00B2142C">
        <w:rPr>
          <w:rFonts w:ascii="Arial" w:hAnsi="Arial"/>
          <w:lang w:val="fr-FR"/>
        </w:rPr>
        <w:tab/>
      </w:r>
      <w:r w:rsidR="00C026C7" w:rsidRPr="00B2142C">
        <w:rPr>
          <w:rFonts w:ascii="Arial" w:hAnsi="Arial"/>
          <w:b/>
          <w:lang w:val="fr-FR"/>
        </w:rPr>
        <w:t>rejetés</w:t>
      </w:r>
      <w:r w:rsidR="006B6527" w:rsidRPr="00B2142C">
        <w:rPr>
          <w:rFonts w:ascii="Arial" w:hAnsi="Arial"/>
          <w:lang w:val="fr-FR"/>
        </w:rPr>
        <w:t xml:space="preserve"> D</w:t>
      </w:r>
      <w:r w:rsidR="00C026C7" w:rsidRPr="00B2142C">
        <w:rPr>
          <w:rFonts w:ascii="Arial" w:hAnsi="Arial"/>
          <w:lang w:val="fr-FR"/>
        </w:rPr>
        <w:t>écembre 2016</w:t>
      </w:r>
    </w:p>
    <w:p w:rsidR="00A80810" w:rsidRPr="00B2142C" w:rsidRDefault="00A80810" w:rsidP="00B140FD">
      <w:pPr>
        <w:spacing w:before="120" w:after="0" w:line="240" w:lineRule="auto"/>
        <w:ind w:left="567" w:right="1252"/>
        <w:jc w:val="both"/>
        <w:rPr>
          <w:rFonts w:ascii="Arial" w:hAnsi="Arial" w:cs="Arial"/>
          <w:b/>
          <w:lang w:val="fr-FR"/>
        </w:rPr>
      </w:pPr>
      <w:r w:rsidRPr="00B2142C">
        <w:rPr>
          <w:rFonts w:ascii="Arial" w:hAnsi="Arial"/>
          <w:b/>
          <w:lang w:val="fr-FR"/>
        </w:rPr>
        <w:t>IRLANDE</w:t>
      </w:r>
    </w:p>
    <w:p w:rsidR="00A80810" w:rsidRPr="00B2142C" w:rsidRDefault="006B6527" w:rsidP="0079461E">
      <w:pPr>
        <w:spacing w:after="0" w:line="240" w:lineRule="auto"/>
        <w:ind w:left="567" w:right="1253"/>
        <w:jc w:val="both"/>
        <w:rPr>
          <w:rFonts w:ascii="Arial" w:hAnsi="Arial" w:cs="Arial"/>
          <w:lang w:val="fr-FR"/>
        </w:rPr>
      </w:pPr>
      <w:r w:rsidRPr="00B2142C">
        <w:rPr>
          <w:rFonts w:ascii="Arial" w:hAnsi="Arial"/>
          <w:lang w:val="fr-FR"/>
        </w:rPr>
        <w:t>Recours</w:t>
      </w:r>
      <w:r w:rsidR="00A80810" w:rsidRPr="00B2142C">
        <w:rPr>
          <w:rFonts w:ascii="Arial" w:hAnsi="Arial"/>
          <w:lang w:val="fr-FR"/>
        </w:rPr>
        <w:t xml:space="preserve"> devant la Haute Cour</w:t>
      </w:r>
      <w:r w:rsidR="00A80810" w:rsidRPr="00A80810">
        <w:rPr>
          <w:rStyle w:val="EndnoteReference"/>
          <w:rFonts w:ascii="Arial" w:hAnsi="Arial" w:cs="Arial"/>
        </w:rPr>
        <w:endnoteReference w:id="6"/>
      </w:r>
      <w:r w:rsidR="00A80810" w:rsidRPr="00B2142C">
        <w:rPr>
          <w:rFonts w:ascii="Arial" w:hAnsi="Arial"/>
          <w:lang w:val="fr-FR"/>
        </w:rPr>
        <w:t xml:space="preserve"> </w:t>
      </w:r>
      <w:r w:rsidR="00A80810" w:rsidRPr="00B2142C">
        <w:rPr>
          <w:rFonts w:ascii="Arial" w:hAnsi="Arial"/>
          <w:lang w:val="fr-FR"/>
        </w:rPr>
        <w:tab/>
      </w:r>
      <w:r w:rsidR="00A80810" w:rsidRPr="00B2142C">
        <w:rPr>
          <w:rFonts w:ascii="Arial" w:hAnsi="Arial"/>
          <w:lang w:val="fr-FR"/>
        </w:rPr>
        <w:tab/>
      </w:r>
      <w:r w:rsidR="00A80810" w:rsidRPr="00B2142C">
        <w:rPr>
          <w:rFonts w:ascii="Arial" w:hAnsi="Arial"/>
          <w:lang w:val="fr-FR"/>
        </w:rPr>
        <w:tab/>
      </w:r>
      <w:r w:rsidR="00B2142C" w:rsidRPr="00B2142C">
        <w:rPr>
          <w:rFonts w:ascii="Arial" w:hAnsi="Arial"/>
          <w:lang w:val="fr-FR"/>
        </w:rPr>
        <w:t>—</w:t>
      </w:r>
      <w:r w:rsidR="00A80810" w:rsidRPr="00B2142C">
        <w:rPr>
          <w:rFonts w:ascii="Arial" w:hAnsi="Arial"/>
          <w:lang w:val="fr-FR"/>
        </w:rPr>
        <w:tab/>
      </w:r>
      <w:r w:rsidR="00A80810" w:rsidRPr="00B2142C">
        <w:rPr>
          <w:rFonts w:ascii="Arial" w:hAnsi="Arial"/>
          <w:b/>
          <w:lang w:val="fr-FR"/>
        </w:rPr>
        <w:t>annulé</w:t>
      </w:r>
      <w:r w:rsidR="00A80810" w:rsidRPr="00B2142C">
        <w:rPr>
          <w:rFonts w:ascii="Arial" w:hAnsi="Arial"/>
          <w:lang w:val="fr-FR"/>
        </w:rPr>
        <w:t xml:space="preserve"> </w:t>
      </w:r>
      <w:r w:rsidRPr="00B2142C">
        <w:rPr>
          <w:rFonts w:ascii="Arial" w:hAnsi="Arial"/>
          <w:lang w:val="fr-FR"/>
        </w:rPr>
        <w:t>N</w:t>
      </w:r>
      <w:r w:rsidR="00A80810" w:rsidRPr="00B2142C">
        <w:rPr>
          <w:rFonts w:ascii="Arial" w:hAnsi="Arial"/>
          <w:lang w:val="fr-FR"/>
        </w:rPr>
        <w:t>ovembre 2016</w:t>
      </w:r>
    </w:p>
    <w:p w:rsidR="00A80810" w:rsidRPr="00B2142C" w:rsidRDefault="00A80810" w:rsidP="0079461E">
      <w:pPr>
        <w:spacing w:before="120" w:after="0" w:line="240" w:lineRule="auto"/>
        <w:ind w:left="567" w:right="1253"/>
        <w:jc w:val="both"/>
        <w:rPr>
          <w:rFonts w:ascii="Arial" w:hAnsi="Arial" w:cs="Arial"/>
          <w:b/>
          <w:lang w:val="fr-FR"/>
        </w:rPr>
      </w:pPr>
      <w:r w:rsidRPr="00B2142C">
        <w:rPr>
          <w:rFonts w:ascii="Arial" w:hAnsi="Arial"/>
          <w:b/>
          <w:lang w:val="fr-FR"/>
        </w:rPr>
        <w:t>UNION EUROPÉENNE</w:t>
      </w:r>
    </w:p>
    <w:p w:rsidR="00B140FD" w:rsidRPr="00B2142C" w:rsidRDefault="006B6527" w:rsidP="00B140FD">
      <w:pPr>
        <w:spacing w:after="0" w:line="240" w:lineRule="auto"/>
        <w:ind w:left="567" w:right="1252"/>
        <w:jc w:val="both"/>
        <w:rPr>
          <w:rFonts w:ascii="Arial" w:hAnsi="Arial" w:cs="Arial"/>
          <w:lang w:val="fr-FR"/>
        </w:rPr>
      </w:pPr>
      <w:r w:rsidRPr="00B2142C">
        <w:rPr>
          <w:rFonts w:ascii="Arial" w:hAnsi="Arial"/>
          <w:lang w:val="fr-FR"/>
        </w:rPr>
        <w:t>Recours</w:t>
      </w:r>
      <w:r w:rsidR="00A80810" w:rsidRPr="00B2142C">
        <w:rPr>
          <w:rFonts w:ascii="Arial" w:hAnsi="Arial"/>
          <w:lang w:val="fr-FR"/>
        </w:rPr>
        <w:t xml:space="preserve"> contre la directive européenne sur les produits du tabac </w:t>
      </w:r>
    </w:p>
    <w:p w:rsidR="00A80810" w:rsidRPr="00B2142C" w:rsidRDefault="00A80810" w:rsidP="00F608C9">
      <w:pPr>
        <w:spacing w:after="0" w:line="240" w:lineRule="auto"/>
        <w:ind w:left="567" w:right="1253"/>
        <w:jc w:val="both"/>
        <w:rPr>
          <w:lang w:val="fr-FR"/>
        </w:rPr>
      </w:pPr>
      <w:proofErr w:type="gramStart"/>
      <w:r w:rsidRPr="00B2142C">
        <w:rPr>
          <w:rFonts w:ascii="Arial" w:hAnsi="Arial"/>
          <w:lang w:val="fr-FR"/>
        </w:rPr>
        <w:t>devant</w:t>
      </w:r>
      <w:proofErr w:type="gramEnd"/>
      <w:r w:rsidRPr="00B2142C">
        <w:rPr>
          <w:rFonts w:ascii="Arial" w:hAnsi="Arial"/>
          <w:lang w:val="fr-FR"/>
        </w:rPr>
        <w:t xml:space="preserve"> la Cour de justice de l’Union européenne</w:t>
      </w:r>
      <w:r w:rsidRPr="00A80810">
        <w:rPr>
          <w:rStyle w:val="EndnoteReference"/>
          <w:rFonts w:ascii="Arial" w:hAnsi="Arial" w:cs="Arial"/>
        </w:rPr>
        <w:endnoteReference w:id="7"/>
      </w:r>
      <w:r w:rsidR="00B2142C">
        <w:rPr>
          <w:rFonts w:ascii="Arial" w:hAnsi="Arial"/>
          <w:lang w:val="fr-FR"/>
        </w:rPr>
        <w:tab/>
        <w:t xml:space="preserve"> </w:t>
      </w:r>
      <w:r w:rsidR="00B2142C" w:rsidRPr="00B2142C">
        <w:rPr>
          <w:rFonts w:ascii="Arial" w:hAnsi="Arial"/>
          <w:lang w:val="fr-FR"/>
        </w:rPr>
        <w:t>—</w:t>
      </w:r>
      <w:r w:rsidR="00B2142C">
        <w:rPr>
          <w:rFonts w:ascii="Arial" w:hAnsi="Arial"/>
          <w:lang w:val="fr-FR"/>
        </w:rPr>
        <w:t xml:space="preserve"> </w:t>
      </w:r>
      <w:r w:rsidR="00B2142C">
        <w:rPr>
          <w:rFonts w:ascii="Arial" w:hAnsi="Arial"/>
          <w:lang w:val="fr-FR"/>
        </w:rPr>
        <w:tab/>
      </w:r>
      <w:r w:rsidRPr="00B2142C">
        <w:rPr>
          <w:rFonts w:ascii="Arial" w:hAnsi="Arial"/>
          <w:b/>
          <w:lang w:val="fr-FR"/>
        </w:rPr>
        <w:t>rejeté</w:t>
      </w:r>
      <w:r w:rsidRPr="00B2142C">
        <w:rPr>
          <w:rFonts w:ascii="Arial" w:hAnsi="Arial"/>
          <w:lang w:val="fr-FR"/>
        </w:rPr>
        <w:t xml:space="preserve"> </w:t>
      </w:r>
      <w:r w:rsidR="006B6527" w:rsidRPr="00B2142C">
        <w:rPr>
          <w:rFonts w:ascii="Arial" w:hAnsi="Arial"/>
          <w:lang w:val="fr-FR"/>
        </w:rPr>
        <w:t>M</w:t>
      </w:r>
      <w:r w:rsidRPr="00B2142C">
        <w:rPr>
          <w:rFonts w:ascii="Arial" w:hAnsi="Arial"/>
          <w:lang w:val="fr-FR"/>
        </w:rPr>
        <w:t>ai 2016</w:t>
      </w:r>
    </w:p>
    <w:p w:rsidR="00A80810" w:rsidRPr="00B2142C" w:rsidRDefault="0079461E" w:rsidP="0079461E">
      <w:pPr>
        <w:spacing w:before="120" w:after="0" w:line="240" w:lineRule="auto"/>
        <w:ind w:left="567" w:right="2529"/>
        <w:rPr>
          <w:rFonts w:ascii="Arial" w:hAnsi="Arial" w:cs="Arial"/>
          <w:b/>
          <w:lang w:val="fr-FR"/>
        </w:rPr>
      </w:pPr>
      <w:r w:rsidRPr="00B2142C">
        <w:rPr>
          <w:rFonts w:ascii="Arial" w:hAnsi="Arial"/>
          <w:b/>
          <w:lang w:val="fr-FR"/>
        </w:rPr>
        <w:t>NORVÈGE</w:t>
      </w:r>
    </w:p>
    <w:p w:rsidR="0079461E" w:rsidRPr="00B2142C" w:rsidRDefault="0079461E" w:rsidP="0079461E">
      <w:pPr>
        <w:spacing w:after="0" w:line="240" w:lineRule="auto"/>
        <w:ind w:left="567" w:right="2529"/>
        <w:rPr>
          <w:rFonts w:ascii="Arial" w:hAnsi="Arial" w:cs="Arial"/>
          <w:lang w:val="fr-FR"/>
        </w:rPr>
      </w:pPr>
      <w:r w:rsidRPr="00B2142C">
        <w:rPr>
          <w:rFonts w:ascii="Arial" w:hAnsi="Arial"/>
          <w:lang w:val="fr-FR"/>
        </w:rPr>
        <w:t xml:space="preserve">Demande d'injonction visant à empêcher le conditionnement neutre </w:t>
      </w:r>
    </w:p>
    <w:p w:rsidR="0079461E" w:rsidRPr="00B2142C" w:rsidRDefault="003B060C" w:rsidP="0079461E">
      <w:pPr>
        <w:spacing w:after="0" w:line="240" w:lineRule="auto"/>
        <w:ind w:left="567" w:right="1111"/>
        <w:rPr>
          <w:rFonts w:ascii="Arial" w:hAnsi="Arial" w:cs="Arial"/>
          <w:lang w:val="fr-FR"/>
        </w:rPr>
      </w:pPr>
      <w:proofErr w:type="gramStart"/>
      <w:r w:rsidRPr="00B2142C">
        <w:rPr>
          <w:rFonts w:ascii="Arial" w:hAnsi="Arial"/>
          <w:lang w:val="fr-FR"/>
        </w:rPr>
        <w:t>du</w:t>
      </w:r>
      <w:proofErr w:type="gramEnd"/>
      <w:r w:rsidRPr="00B2142C">
        <w:rPr>
          <w:rFonts w:ascii="Arial" w:hAnsi="Arial"/>
          <w:lang w:val="fr-FR"/>
        </w:rPr>
        <w:t xml:space="preserve"> tabac à priser</w:t>
      </w:r>
      <w:r w:rsidR="0079461E">
        <w:rPr>
          <w:rStyle w:val="EndnoteReference"/>
          <w:rFonts w:ascii="Arial" w:hAnsi="Arial" w:cs="Arial"/>
        </w:rPr>
        <w:endnoteReference w:id="8"/>
      </w:r>
      <w:r w:rsidRPr="00B2142C">
        <w:rPr>
          <w:rFonts w:ascii="Arial" w:hAnsi="Arial"/>
          <w:lang w:val="fr-FR"/>
        </w:rPr>
        <w:tab/>
      </w:r>
      <w:r w:rsidRPr="00B2142C">
        <w:rPr>
          <w:rFonts w:ascii="Arial" w:hAnsi="Arial"/>
          <w:lang w:val="fr-FR"/>
        </w:rPr>
        <w:tab/>
      </w:r>
      <w:r w:rsidRPr="00B2142C">
        <w:rPr>
          <w:rFonts w:ascii="Arial" w:hAnsi="Arial"/>
          <w:lang w:val="fr-FR"/>
        </w:rPr>
        <w:tab/>
      </w:r>
      <w:r w:rsidRPr="00B2142C">
        <w:rPr>
          <w:rFonts w:ascii="Arial" w:hAnsi="Arial"/>
          <w:lang w:val="fr-FR"/>
        </w:rPr>
        <w:tab/>
      </w:r>
      <w:r w:rsidRPr="00B2142C">
        <w:rPr>
          <w:rFonts w:ascii="Arial" w:hAnsi="Arial"/>
          <w:lang w:val="fr-FR"/>
        </w:rPr>
        <w:tab/>
        <w:t>—</w:t>
      </w:r>
      <w:r w:rsidRPr="00B2142C">
        <w:rPr>
          <w:rFonts w:ascii="Arial" w:hAnsi="Arial"/>
          <w:lang w:val="fr-FR"/>
        </w:rPr>
        <w:tab/>
      </w:r>
      <w:r w:rsidRPr="00B2142C">
        <w:rPr>
          <w:rFonts w:ascii="Arial" w:hAnsi="Arial"/>
          <w:b/>
          <w:lang w:val="fr-FR"/>
        </w:rPr>
        <w:t>rejetée</w:t>
      </w:r>
      <w:r w:rsidR="006B6527" w:rsidRPr="00B2142C">
        <w:rPr>
          <w:rFonts w:ascii="Arial" w:hAnsi="Arial"/>
          <w:lang w:val="fr-FR"/>
        </w:rPr>
        <w:t xml:space="preserve"> N</w:t>
      </w:r>
      <w:r w:rsidRPr="00B2142C">
        <w:rPr>
          <w:rFonts w:ascii="Arial" w:hAnsi="Arial"/>
          <w:lang w:val="fr-FR"/>
        </w:rPr>
        <w:t>ovembre 2017</w:t>
      </w:r>
    </w:p>
    <w:p w:rsidR="0079461E" w:rsidRPr="00B2142C" w:rsidRDefault="0079461E" w:rsidP="00B140FD">
      <w:pPr>
        <w:spacing w:after="120" w:line="240" w:lineRule="auto"/>
        <w:ind w:left="567" w:right="2528"/>
        <w:rPr>
          <w:rFonts w:ascii="Arial" w:hAnsi="Arial" w:cs="Arial"/>
          <w:lang w:val="fr-FR"/>
        </w:rPr>
        <w:sectPr w:rsidR="0079461E" w:rsidRPr="00B2142C" w:rsidSect="00530F53">
          <w:endnotePr>
            <w:numFmt w:val="decimal"/>
          </w:endnotePr>
          <w:type w:val="continuous"/>
          <w:pgSz w:w="11906" w:h="16838"/>
          <w:pgMar w:top="720" w:right="720" w:bottom="720" w:left="720" w:header="708" w:footer="708" w:gutter="0"/>
          <w:cols w:space="3120"/>
          <w:docGrid w:linePitch="360"/>
        </w:sectPr>
      </w:pPr>
    </w:p>
    <w:p w:rsidR="003441FD" w:rsidRPr="00B2142C" w:rsidRDefault="003441FD" w:rsidP="00B140FD">
      <w:pPr>
        <w:spacing w:after="0" w:line="240" w:lineRule="auto"/>
        <w:ind w:left="567" w:right="2528"/>
        <w:rPr>
          <w:lang w:val="fr-FR"/>
        </w:rPr>
        <w:sectPr w:rsidR="003441FD" w:rsidRPr="00B2142C" w:rsidSect="003441FD">
          <w:endnotePr>
            <w:numFmt w:val="decimal"/>
          </w:endnotePr>
          <w:type w:val="continuous"/>
          <w:pgSz w:w="11906" w:h="16838"/>
          <w:pgMar w:top="720" w:right="720" w:bottom="851" w:left="720" w:header="708" w:footer="708" w:gutter="0"/>
          <w:cols w:num="2" w:space="568"/>
          <w:docGrid w:linePitch="360"/>
        </w:sectPr>
      </w:pPr>
    </w:p>
    <w:p w:rsidR="003441FD" w:rsidRPr="00B2142C" w:rsidRDefault="003441FD" w:rsidP="0079461E">
      <w:pPr>
        <w:spacing w:before="120" w:after="120" w:line="240" w:lineRule="auto"/>
        <w:ind w:left="567" w:right="2529"/>
        <w:rPr>
          <w:rFonts w:ascii="Arial" w:hAnsi="Arial" w:cs="Arial"/>
          <w:b/>
          <w:color w:val="666633"/>
          <w:sz w:val="32"/>
          <w:szCs w:val="36"/>
          <w:lang w:val="fr-FR"/>
        </w:rPr>
      </w:pPr>
      <w:r w:rsidRPr="00B2142C">
        <w:rPr>
          <w:rFonts w:ascii="Arial" w:hAnsi="Arial"/>
          <w:b/>
          <w:color w:val="666633"/>
          <w:sz w:val="32"/>
          <w:szCs w:val="36"/>
          <w:lang w:val="fr-FR"/>
        </w:rPr>
        <w:lastRenderedPageBreak/>
        <w:t xml:space="preserve">Les fabricants de tabac </w:t>
      </w:r>
      <w:proofErr w:type="spellStart"/>
      <w:r w:rsidRPr="00B2142C">
        <w:rPr>
          <w:rFonts w:ascii="Arial" w:hAnsi="Arial"/>
          <w:b/>
          <w:color w:val="666633"/>
          <w:sz w:val="32"/>
          <w:szCs w:val="36"/>
          <w:lang w:val="fr-FR"/>
        </w:rPr>
        <w:t>vont-ils</w:t>
      </w:r>
      <w:proofErr w:type="spellEnd"/>
      <w:r w:rsidRPr="00B2142C">
        <w:rPr>
          <w:rFonts w:ascii="Arial" w:hAnsi="Arial"/>
          <w:b/>
          <w:color w:val="666633"/>
          <w:sz w:val="32"/>
          <w:szCs w:val="36"/>
          <w:lang w:val="fr-FR"/>
        </w:rPr>
        <w:t xml:space="preserve"> tenter de poursuivre en justice chaque gouvernement qui met en œuvre le conditionnement neutre ?</w:t>
      </w:r>
    </w:p>
    <w:p w:rsidR="003441FD" w:rsidRPr="00B2142C" w:rsidRDefault="003441FD" w:rsidP="00B140FD">
      <w:pPr>
        <w:pStyle w:val="ListParagraph"/>
        <w:numPr>
          <w:ilvl w:val="0"/>
          <w:numId w:val="3"/>
        </w:numPr>
        <w:spacing w:after="80"/>
        <w:ind w:left="567" w:right="2528" w:firstLine="0"/>
        <w:contextualSpacing w:val="0"/>
        <w:rPr>
          <w:rFonts w:ascii="Arial" w:hAnsi="Arial" w:cs="Arial"/>
          <w:sz w:val="21"/>
          <w:szCs w:val="21"/>
          <w:lang w:val="fr-FR"/>
        </w:rPr>
        <w:sectPr w:rsidR="003441FD" w:rsidRPr="00B2142C" w:rsidSect="00B140FD">
          <w:endnotePr>
            <w:numFmt w:val="decimal"/>
          </w:endnotePr>
          <w:type w:val="continuous"/>
          <w:pgSz w:w="11906" w:h="16838"/>
          <w:pgMar w:top="720" w:right="720" w:bottom="1276" w:left="720" w:header="708" w:footer="708" w:gutter="0"/>
          <w:cols w:space="708"/>
          <w:docGrid w:linePitch="360"/>
        </w:sectPr>
      </w:pPr>
    </w:p>
    <w:p w:rsidR="003441FD" w:rsidRPr="00B2142C" w:rsidRDefault="003441FD" w:rsidP="00B140FD">
      <w:pPr>
        <w:spacing w:after="120"/>
        <w:ind w:left="567" w:right="2529"/>
        <w:jc w:val="both"/>
        <w:rPr>
          <w:rFonts w:ascii="Arial" w:hAnsi="Arial" w:cs="Arial"/>
          <w:lang w:val="fr-FR"/>
        </w:rPr>
      </w:pPr>
      <w:r w:rsidRPr="00B2142C">
        <w:rPr>
          <w:rFonts w:ascii="Arial" w:hAnsi="Arial"/>
          <w:lang w:val="fr-FR"/>
        </w:rPr>
        <w:lastRenderedPageBreak/>
        <w:t>Les litiges, et la menace de poursuites judiciaires, constituent l’une des stratégies utilisées par l’industrie du tabac pour tenter de retarder ou d’empêcher la mise en œuvre</w:t>
      </w:r>
      <w:r w:rsidR="00734AAD" w:rsidRPr="00B2142C">
        <w:rPr>
          <w:rFonts w:ascii="Arial" w:hAnsi="Arial"/>
          <w:lang w:val="fr-FR"/>
        </w:rPr>
        <w:t xml:space="preserve"> par les gouvernements</w:t>
      </w:r>
      <w:r w:rsidRPr="00B2142C">
        <w:rPr>
          <w:rFonts w:ascii="Arial" w:hAnsi="Arial"/>
          <w:lang w:val="fr-FR"/>
        </w:rPr>
        <w:t xml:space="preserve"> de politiques de lutte antitabac efficaces</w:t>
      </w:r>
      <w:r w:rsidR="00734AAD" w:rsidRPr="00B2142C">
        <w:rPr>
          <w:rFonts w:ascii="Arial" w:hAnsi="Arial"/>
          <w:lang w:val="fr-FR"/>
        </w:rPr>
        <w:t xml:space="preserve">. </w:t>
      </w:r>
      <w:r w:rsidRPr="00B2142C">
        <w:rPr>
          <w:rFonts w:ascii="Arial" w:hAnsi="Arial"/>
          <w:lang w:val="fr-FR"/>
        </w:rPr>
        <w:t>Cependant, chaque pays possède un système juridique différent, e</w:t>
      </w:r>
      <w:r w:rsidR="00770345" w:rsidRPr="00B2142C">
        <w:rPr>
          <w:rFonts w:ascii="Arial" w:hAnsi="Arial"/>
          <w:lang w:val="fr-FR"/>
        </w:rPr>
        <w:t>t tous les gouvernements ayant instaur</w:t>
      </w:r>
      <w:r w:rsidRPr="00B2142C">
        <w:rPr>
          <w:rFonts w:ascii="Arial" w:hAnsi="Arial"/>
          <w:lang w:val="fr-FR"/>
        </w:rPr>
        <w:t>é le conditionnement neutre n’ont pas été confrontés à un</w:t>
      </w:r>
      <w:r w:rsidR="00770345" w:rsidRPr="00B2142C">
        <w:rPr>
          <w:rFonts w:ascii="Arial" w:hAnsi="Arial"/>
          <w:lang w:val="fr-FR"/>
        </w:rPr>
        <w:t xml:space="preserve"> recours juridictionnel</w:t>
      </w:r>
      <w:r w:rsidRPr="00B2142C">
        <w:rPr>
          <w:rFonts w:ascii="Arial" w:hAnsi="Arial"/>
          <w:lang w:val="fr-FR"/>
        </w:rPr>
        <w:t xml:space="preserve">. </w:t>
      </w:r>
    </w:p>
    <w:p w:rsidR="00F608C9" w:rsidRPr="00B2142C" w:rsidRDefault="00F608C9" w:rsidP="00F608C9">
      <w:pPr>
        <w:spacing w:after="120"/>
        <w:ind w:left="567" w:right="1819"/>
        <w:jc w:val="both"/>
        <w:rPr>
          <w:rFonts w:ascii="Arial" w:hAnsi="Arial" w:cs="Arial"/>
          <w:lang w:val="fr-FR"/>
        </w:rPr>
      </w:pPr>
    </w:p>
    <w:p w:rsidR="00B140FD" w:rsidRPr="00B2142C" w:rsidRDefault="003441FD" w:rsidP="00F608C9">
      <w:pPr>
        <w:spacing w:after="120"/>
        <w:ind w:left="567" w:right="1819"/>
        <w:jc w:val="both"/>
        <w:rPr>
          <w:rFonts w:ascii="Arial" w:hAnsi="Arial" w:cs="Arial"/>
          <w:lang w:val="fr-FR"/>
        </w:rPr>
      </w:pPr>
      <w:r w:rsidRPr="00B2142C">
        <w:rPr>
          <w:rFonts w:ascii="Arial" w:hAnsi="Arial"/>
          <w:lang w:val="fr-FR"/>
        </w:rPr>
        <w:t>La Hongrie, la Slovénie et la Nouvelle-Zélande ont adopté des lois relatives au conditionneme</w:t>
      </w:r>
      <w:r w:rsidR="00770345" w:rsidRPr="00B2142C">
        <w:rPr>
          <w:rFonts w:ascii="Arial" w:hAnsi="Arial"/>
          <w:lang w:val="fr-FR"/>
        </w:rPr>
        <w:t>nt neutre, mais à ce jour aucun recours</w:t>
      </w:r>
      <w:r w:rsidRPr="00B2142C">
        <w:rPr>
          <w:rFonts w:ascii="Arial" w:hAnsi="Arial"/>
          <w:lang w:val="fr-FR"/>
        </w:rPr>
        <w:t xml:space="preserve"> juridi</w:t>
      </w:r>
      <w:r w:rsidR="00770345" w:rsidRPr="00B2142C">
        <w:rPr>
          <w:rFonts w:ascii="Arial" w:hAnsi="Arial"/>
          <w:lang w:val="fr-FR"/>
        </w:rPr>
        <w:t>ctionnel</w:t>
      </w:r>
      <w:r w:rsidRPr="00B2142C">
        <w:rPr>
          <w:rFonts w:ascii="Arial" w:hAnsi="Arial"/>
          <w:lang w:val="fr-FR"/>
        </w:rPr>
        <w:t xml:space="preserve"> n’a été déposé dans ces pays. </w:t>
      </w:r>
    </w:p>
    <w:p w:rsidR="003441FD" w:rsidRPr="00B2142C" w:rsidRDefault="003441FD" w:rsidP="00F608C9">
      <w:pPr>
        <w:spacing w:after="80"/>
        <w:ind w:left="567" w:right="1819"/>
        <w:jc w:val="both"/>
        <w:rPr>
          <w:rFonts w:ascii="Arial" w:hAnsi="Arial" w:cs="Arial"/>
          <w:lang w:val="fr-FR"/>
        </w:rPr>
      </w:pPr>
      <w:r w:rsidRPr="00B2142C">
        <w:rPr>
          <w:rFonts w:ascii="Arial" w:hAnsi="Arial"/>
          <w:lang w:val="fr-FR"/>
        </w:rPr>
        <w:t>L'industrie du tabac continue à résolument faire valoir que le conditionnement neutre est illégal dans les pays qui envisagent la politique, bien que chaque rec</w:t>
      </w:r>
      <w:r w:rsidR="00770345" w:rsidRPr="00B2142C">
        <w:rPr>
          <w:rFonts w:ascii="Arial" w:hAnsi="Arial"/>
          <w:lang w:val="fr-FR"/>
        </w:rPr>
        <w:t>ours juridictionnel</w:t>
      </w:r>
      <w:r w:rsidRPr="00B2142C">
        <w:rPr>
          <w:rFonts w:ascii="Arial" w:hAnsi="Arial"/>
          <w:lang w:val="fr-FR"/>
        </w:rPr>
        <w:t xml:space="preserve"> de l’industrie ait été rejeté jusqu’à maintenant. Par conséquent, les gouvernements doivent être bien préparés. </w:t>
      </w:r>
    </w:p>
    <w:p w:rsidR="003441FD" w:rsidRPr="00B2142C" w:rsidRDefault="003441FD" w:rsidP="00F608C9">
      <w:pPr>
        <w:tabs>
          <w:tab w:val="left" w:pos="567"/>
        </w:tabs>
        <w:spacing w:before="480" w:after="120"/>
        <w:ind w:left="567" w:right="1819"/>
        <w:rPr>
          <w:rFonts w:ascii="Arial" w:hAnsi="Arial" w:cs="Arial"/>
          <w:b/>
          <w:color w:val="666633"/>
          <w:sz w:val="32"/>
          <w:szCs w:val="36"/>
          <w:lang w:val="fr-FR"/>
        </w:rPr>
      </w:pPr>
      <w:r w:rsidRPr="00B2142C">
        <w:rPr>
          <w:rFonts w:ascii="Arial" w:hAnsi="Arial"/>
          <w:b/>
          <w:color w:val="666633"/>
          <w:sz w:val="32"/>
          <w:szCs w:val="36"/>
          <w:lang w:val="fr-FR"/>
        </w:rPr>
        <w:t>Le conditionnement neutre des produits du tabac enfreint-il les lois sur la propriété intellectuelle ?</w:t>
      </w:r>
    </w:p>
    <w:p w:rsidR="003441FD" w:rsidRPr="00B2142C" w:rsidRDefault="003441FD" w:rsidP="00F608C9">
      <w:pPr>
        <w:pStyle w:val="ListParagraph"/>
        <w:numPr>
          <w:ilvl w:val="0"/>
          <w:numId w:val="5"/>
        </w:numPr>
        <w:spacing w:after="80"/>
        <w:ind w:left="567" w:right="1819" w:firstLine="0"/>
        <w:contextualSpacing w:val="0"/>
        <w:rPr>
          <w:rFonts w:ascii="Arial" w:hAnsi="Arial" w:cs="Arial"/>
          <w:sz w:val="21"/>
          <w:szCs w:val="21"/>
          <w:lang w:val="fr-FR"/>
        </w:rPr>
        <w:sectPr w:rsidR="003441FD" w:rsidRPr="00B2142C" w:rsidSect="003441FD">
          <w:endnotePr>
            <w:numFmt w:val="decimal"/>
          </w:endnotePr>
          <w:type w:val="continuous"/>
          <w:pgSz w:w="11906" w:h="16838"/>
          <w:pgMar w:top="720" w:right="720" w:bottom="720" w:left="720" w:header="708" w:footer="708" w:gutter="0"/>
          <w:cols w:space="708"/>
          <w:docGrid w:linePitch="360"/>
        </w:sectPr>
      </w:pPr>
    </w:p>
    <w:p w:rsidR="003441FD" w:rsidRPr="00B2142C" w:rsidRDefault="003441FD" w:rsidP="00F608C9">
      <w:pPr>
        <w:spacing w:after="120"/>
        <w:ind w:left="567" w:right="1819"/>
        <w:jc w:val="both"/>
        <w:rPr>
          <w:rFonts w:ascii="Arial" w:hAnsi="Arial" w:cs="Arial"/>
          <w:lang w:val="fr-FR"/>
        </w:rPr>
      </w:pPr>
      <w:r w:rsidRPr="00B2142C">
        <w:rPr>
          <w:rFonts w:ascii="Arial" w:hAnsi="Arial"/>
          <w:lang w:val="fr-FR"/>
        </w:rPr>
        <w:lastRenderedPageBreak/>
        <w:t xml:space="preserve">Les décisions de justice rejetant les </w:t>
      </w:r>
      <w:r w:rsidR="00770345" w:rsidRPr="00B2142C">
        <w:rPr>
          <w:rFonts w:ascii="Arial" w:hAnsi="Arial"/>
          <w:lang w:val="fr-FR"/>
        </w:rPr>
        <w:t>recours juridictionnels</w:t>
      </w:r>
      <w:r w:rsidRPr="00B2142C">
        <w:rPr>
          <w:rFonts w:ascii="Arial" w:hAnsi="Arial"/>
          <w:lang w:val="fr-FR"/>
        </w:rPr>
        <w:t xml:space="preserve"> en Australie, en France et au Royaume-Uni ont toutes été claires : le conditionnement neutre n’</w:t>
      </w:r>
      <w:r w:rsidR="00770345" w:rsidRPr="00B2142C">
        <w:rPr>
          <w:rFonts w:ascii="Arial" w:hAnsi="Arial"/>
          <w:lang w:val="fr-FR"/>
        </w:rPr>
        <w:t>est contraire à aucune</w:t>
      </w:r>
      <w:r w:rsidRPr="00B2142C">
        <w:rPr>
          <w:rFonts w:ascii="Arial" w:hAnsi="Arial"/>
          <w:lang w:val="fr-FR"/>
        </w:rPr>
        <w:t xml:space="preserve"> </w:t>
      </w:r>
      <w:r w:rsidR="00770345" w:rsidRPr="00B2142C">
        <w:rPr>
          <w:rFonts w:ascii="Arial" w:hAnsi="Arial"/>
          <w:lang w:val="fr-FR"/>
        </w:rPr>
        <w:t>d</w:t>
      </w:r>
      <w:r w:rsidRPr="00B2142C">
        <w:rPr>
          <w:rFonts w:ascii="Arial" w:hAnsi="Arial"/>
          <w:lang w:val="fr-FR"/>
        </w:rPr>
        <w:t xml:space="preserve">es obligations </w:t>
      </w:r>
      <w:r w:rsidR="00770345" w:rsidRPr="00B2142C">
        <w:rPr>
          <w:rFonts w:ascii="Arial" w:hAnsi="Arial"/>
          <w:lang w:val="fr-FR"/>
        </w:rPr>
        <w:t>ou</w:t>
      </w:r>
      <w:r w:rsidRPr="00B2142C">
        <w:rPr>
          <w:rFonts w:ascii="Arial" w:hAnsi="Arial"/>
          <w:lang w:val="fr-FR"/>
        </w:rPr>
        <w:t xml:space="preserve"> lois relatives à la propriété intellectuelle </w:t>
      </w:r>
      <w:r w:rsidR="00770345" w:rsidRPr="00B2142C">
        <w:rPr>
          <w:rFonts w:ascii="Arial" w:hAnsi="Arial"/>
          <w:lang w:val="fr-FR"/>
        </w:rPr>
        <w:t>que ce soit</w:t>
      </w:r>
      <w:r w:rsidRPr="00B2142C">
        <w:rPr>
          <w:rFonts w:ascii="Arial" w:hAnsi="Arial"/>
          <w:lang w:val="fr-FR"/>
        </w:rPr>
        <w:t xml:space="preserve"> à l’échelle nationale </w:t>
      </w:r>
      <w:r w:rsidR="00770345" w:rsidRPr="00B2142C">
        <w:rPr>
          <w:rFonts w:ascii="Arial" w:hAnsi="Arial"/>
          <w:lang w:val="fr-FR"/>
        </w:rPr>
        <w:t>ou</w:t>
      </w:r>
      <w:r w:rsidRPr="00B2142C">
        <w:rPr>
          <w:rFonts w:ascii="Arial" w:hAnsi="Arial"/>
          <w:lang w:val="fr-FR"/>
        </w:rPr>
        <w:t xml:space="preserve"> international</w:t>
      </w:r>
      <w:r w:rsidR="00770345" w:rsidRPr="00B2142C">
        <w:rPr>
          <w:rFonts w:ascii="Arial" w:hAnsi="Arial"/>
          <w:lang w:val="fr-FR"/>
        </w:rPr>
        <w:t>e</w:t>
      </w:r>
      <w:r w:rsidRPr="00B2142C">
        <w:rPr>
          <w:rFonts w:ascii="Arial" w:hAnsi="Arial"/>
          <w:lang w:val="fr-FR"/>
        </w:rPr>
        <w:t xml:space="preserve">. </w:t>
      </w:r>
    </w:p>
    <w:p w:rsidR="003441FD" w:rsidRPr="00B2142C" w:rsidRDefault="003441FD" w:rsidP="00F608C9">
      <w:pPr>
        <w:spacing w:after="120"/>
        <w:ind w:left="567" w:right="1819"/>
        <w:jc w:val="both"/>
        <w:rPr>
          <w:rFonts w:ascii="Arial" w:hAnsi="Arial" w:cs="Arial"/>
          <w:lang w:val="fr-FR"/>
        </w:rPr>
      </w:pPr>
      <w:r w:rsidRPr="00B2142C">
        <w:rPr>
          <w:rFonts w:ascii="Arial" w:hAnsi="Arial"/>
          <w:lang w:val="fr-FR"/>
        </w:rPr>
        <w:t xml:space="preserve">Comme l’a indiqué la Haute Cour d’Australie, le conditionnement neutre ne diffère en rien des autres exigences en matière d’emballage ou d’étiquetage. Si le conditionnement neutre des produits du tabac était contraire aux lois relatives à la propriété intellectuelle, les gouvernements ne pourraient pas réglementer le conditionnement ni l’étiquetage des autres produits. </w:t>
      </w:r>
    </w:p>
    <w:p w:rsidR="003441FD" w:rsidRPr="00B2142C" w:rsidRDefault="003441FD" w:rsidP="00F608C9">
      <w:pPr>
        <w:spacing w:after="120"/>
        <w:ind w:left="567" w:right="1819"/>
        <w:jc w:val="both"/>
        <w:rPr>
          <w:rFonts w:ascii="Arial" w:hAnsi="Arial" w:cs="Arial"/>
          <w:lang w:val="fr-FR"/>
        </w:rPr>
      </w:pPr>
      <w:r w:rsidRPr="00B2142C">
        <w:rPr>
          <w:rFonts w:ascii="Arial" w:hAnsi="Arial"/>
          <w:lang w:val="fr-FR"/>
        </w:rPr>
        <w:t>Les fabricants de tabac affirment qu’une fois leurs marques</w:t>
      </w:r>
      <w:r w:rsidR="00770345" w:rsidRPr="00B2142C">
        <w:rPr>
          <w:rFonts w:ascii="Arial" w:hAnsi="Arial"/>
          <w:lang w:val="fr-FR"/>
        </w:rPr>
        <w:t xml:space="preserve"> enregistrées</w:t>
      </w:r>
      <w:r w:rsidRPr="00B2142C">
        <w:rPr>
          <w:rFonts w:ascii="Arial" w:hAnsi="Arial"/>
          <w:lang w:val="fr-FR"/>
        </w:rPr>
        <w:t xml:space="preserve"> ils disposent d</w:t>
      </w:r>
      <w:r w:rsidR="00770345" w:rsidRPr="00B2142C">
        <w:rPr>
          <w:rFonts w:ascii="Arial" w:hAnsi="Arial"/>
          <w:lang w:val="fr-FR"/>
        </w:rPr>
        <w:t>’un</w:t>
      </w:r>
      <w:r w:rsidRPr="00B2142C">
        <w:rPr>
          <w:rFonts w:ascii="Arial" w:hAnsi="Arial"/>
          <w:lang w:val="fr-FR"/>
        </w:rPr>
        <w:t xml:space="preserve"> « droit d'utili</w:t>
      </w:r>
      <w:r w:rsidR="00770345" w:rsidRPr="00B2142C">
        <w:rPr>
          <w:rFonts w:ascii="Arial" w:hAnsi="Arial"/>
          <w:lang w:val="fr-FR"/>
        </w:rPr>
        <w:t>sation</w:t>
      </w:r>
      <w:r w:rsidRPr="00B2142C">
        <w:rPr>
          <w:rFonts w:ascii="Arial" w:hAnsi="Arial"/>
          <w:lang w:val="fr-FR"/>
        </w:rPr>
        <w:t xml:space="preserve"> » </w:t>
      </w:r>
      <w:r w:rsidR="00770345" w:rsidRPr="00B2142C">
        <w:rPr>
          <w:rFonts w:ascii="Arial" w:hAnsi="Arial"/>
          <w:lang w:val="fr-FR"/>
        </w:rPr>
        <w:t xml:space="preserve">sur </w:t>
      </w:r>
      <w:r w:rsidRPr="00B2142C">
        <w:rPr>
          <w:rFonts w:ascii="Arial" w:hAnsi="Arial"/>
          <w:lang w:val="fr-FR"/>
        </w:rPr>
        <w:t>ces marques. Aucun traité international en matière de propriété intellectuelle n’exige, toutefois, que</w:t>
      </w:r>
      <w:r w:rsidR="00770345" w:rsidRPr="00B2142C">
        <w:rPr>
          <w:rFonts w:ascii="Arial" w:hAnsi="Arial"/>
          <w:lang w:val="fr-FR"/>
        </w:rPr>
        <w:t xml:space="preserve"> le « droit d’utilisation »</w:t>
      </w:r>
      <w:r w:rsidRPr="00B2142C">
        <w:rPr>
          <w:rFonts w:ascii="Arial" w:hAnsi="Arial"/>
          <w:lang w:val="fr-FR"/>
        </w:rPr>
        <w:t xml:space="preserve"> </w:t>
      </w:r>
      <w:r w:rsidR="00770345" w:rsidRPr="00B2142C">
        <w:rPr>
          <w:rFonts w:ascii="Arial" w:hAnsi="Arial"/>
          <w:lang w:val="fr-FR"/>
        </w:rPr>
        <w:t>d</w:t>
      </w:r>
      <w:r w:rsidRPr="00B2142C">
        <w:rPr>
          <w:rFonts w:ascii="Arial" w:hAnsi="Arial"/>
          <w:lang w:val="fr-FR"/>
        </w:rPr>
        <w:t>es propriétaires de marques dép</w:t>
      </w:r>
      <w:r w:rsidR="00770345" w:rsidRPr="00B2142C">
        <w:rPr>
          <w:rFonts w:ascii="Arial" w:hAnsi="Arial"/>
          <w:lang w:val="fr-FR"/>
        </w:rPr>
        <w:t xml:space="preserve">osées </w:t>
      </w:r>
      <w:r w:rsidRPr="00B2142C">
        <w:rPr>
          <w:rFonts w:ascii="Arial" w:hAnsi="Arial"/>
          <w:lang w:val="fr-FR"/>
        </w:rPr>
        <w:t>outrepass</w:t>
      </w:r>
      <w:r w:rsidR="00770345" w:rsidRPr="00B2142C">
        <w:rPr>
          <w:rFonts w:ascii="Arial" w:hAnsi="Arial"/>
          <w:lang w:val="fr-FR"/>
        </w:rPr>
        <w:t>e</w:t>
      </w:r>
      <w:r w:rsidRPr="00B2142C">
        <w:rPr>
          <w:rFonts w:ascii="Arial" w:hAnsi="Arial"/>
          <w:lang w:val="fr-FR"/>
        </w:rPr>
        <w:t xml:space="preserve"> les pouvoirs de réglementation d'un État dans l’intérêt public. </w:t>
      </w:r>
    </w:p>
    <w:p w:rsidR="003441FD" w:rsidRPr="00B2142C" w:rsidRDefault="00692C1C" w:rsidP="00F608C9">
      <w:pPr>
        <w:spacing w:after="120"/>
        <w:ind w:left="567" w:right="1819"/>
        <w:jc w:val="both"/>
        <w:rPr>
          <w:rFonts w:ascii="Arial" w:hAnsi="Arial" w:cs="Arial"/>
          <w:lang w:val="fr-FR"/>
        </w:rPr>
      </w:pPr>
      <w:r w:rsidRPr="00B2142C">
        <w:rPr>
          <w:rFonts w:ascii="Arial" w:hAnsi="Arial"/>
          <w:lang w:val="fr-FR"/>
        </w:rPr>
        <w:t>Des</w:t>
      </w:r>
      <w:r w:rsidR="003441FD" w:rsidRPr="00B2142C">
        <w:rPr>
          <w:rFonts w:ascii="Arial" w:hAnsi="Arial"/>
          <w:lang w:val="fr-FR"/>
        </w:rPr>
        <w:t xml:space="preserve"> documents internes de l'industrie</w:t>
      </w:r>
      <w:r w:rsidRPr="00B2142C">
        <w:rPr>
          <w:rFonts w:ascii="Arial" w:hAnsi="Arial"/>
          <w:lang w:val="fr-FR"/>
        </w:rPr>
        <w:t xml:space="preserve"> qui ont été divulgués</w:t>
      </w:r>
      <w:r w:rsidR="003441FD" w:rsidRPr="00B2142C">
        <w:rPr>
          <w:rFonts w:ascii="Arial" w:hAnsi="Arial"/>
          <w:lang w:val="fr-FR"/>
        </w:rPr>
        <w:t xml:space="preserve"> montrent que</w:t>
      </w:r>
      <w:r w:rsidRPr="00B2142C">
        <w:rPr>
          <w:rFonts w:ascii="Arial" w:hAnsi="Arial"/>
          <w:lang w:val="fr-FR"/>
        </w:rPr>
        <w:t>, dès 1994,</w:t>
      </w:r>
      <w:r w:rsidR="003441FD" w:rsidRPr="00B2142C">
        <w:rPr>
          <w:rFonts w:ascii="Arial" w:hAnsi="Arial"/>
          <w:lang w:val="fr-FR"/>
        </w:rPr>
        <w:t xml:space="preserve"> les fabricants de tabac savaient par leurs avocats et l’Organisation mondiale de la propriété intellectuelle (WIPO) que le conditionnement neutre n’enfreindrait pas les règles internationales en matière de propriété intellectuelle.</w:t>
      </w:r>
      <w:r w:rsidR="003441FD" w:rsidRPr="00A80810">
        <w:rPr>
          <w:rStyle w:val="EndnoteReference"/>
          <w:rFonts w:ascii="Arial" w:hAnsi="Arial" w:cs="Arial"/>
        </w:rPr>
        <w:endnoteReference w:id="9"/>
      </w:r>
      <w:r w:rsidR="003441FD" w:rsidRPr="00B2142C">
        <w:rPr>
          <w:rFonts w:ascii="Arial" w:hAnsi="Arial"/>
          <w:lang w:val="fr-FR"/>
        </w:rPr>
        <w:t xml:space="preserve">  </w:t>
      </w:r>
    </w:p>
    <w:p w:rsidR="003441FD" w:rsidRPr="00B2142C" w:rsidRDefault="00692C1C" w:rsidP="00F608C9">
      <w:pPr>
        <w:spacing w:after="120"/>
        <w:ind w:left="567" w:right="1819"/>
        <w:jc w:val="both"/>
        <w:rPr>
          <w:rFonts w:ascii="Arial" w:hAnsi="Arial" w:cs="Arial"/>
          <w:lang w:val="fr-FR"/>
        </w:rPr>
      </w:pPr>
      <w:r w:rsidRPr="00B2142C">
        <w:rPr>
          <w:rFonts w:ascii="Arial" w:hAnsi="Arial"/>
          <w:lang w:val="fr-FR"/>
        </w:rPr>
        <w:t>En 1995, l</w:t>
      </w:r>
      <w:r w:rsidR="003441FD" w:rsidRPr="00B2142C">
        <w:rPr>
          <w:rFonts w:ascii="Arial" w:hAnsi="Arial"/>
          <w:lang w:val="fr-FR"/>
        </w:rPr>
        <w:t>e Directeur général de l’OMC a écrit au Dir</w:t>
      </w:r>
      <w:r w:rsidRPr="00B2142C">
        <w:rPr>
          <w:rFonts w:ascii="Arial" w:hAnsi="Arial"/>
          <w:lang w:val="fr-FR"/>
        </w:rPr>
        <w:t>ecteur général de l’OMS pour précis</w:t>
      </w:r>
      <w:r w:rsidR="003441FD" w:rsidRPr="00B2142C">
        <w:rPr>
          <w:rFonts w:ascii="Arial" w:hAnsi="Arial"/>
          <w:lang w:val="fr-FR"/>
        </w:rPr>
        <w:t>er que « </w:t>
      </w:r>
      <w:r w:rsidR="003441FD" w:rsidRPr="00B2142C">
        <w:rPr>
          <w:rFonts w:ascii="Arial" w:hAnsi="Arial"/>
          <w:i/>
          <w:lang w:val="fr-FR"/>
        </w:rPr>
        <w:t>les pays … demeurent libres de réglementer la vente de certains types de produits et le fait qu’une marque ait été enregistrée pour ces produits ne donne pas le droit au propriétaire de l’enregistrement d’être exempté de toute limitation concernant l’utilisation de la marque</w:t>
      </w:r>
      <w:r w:rsidRPr="00B2142C">
        <w:rPr>
          <w:rFonts w:ascii="Arial" w:hAnsi="Arial"/>
          <w:i/>
          <w:lang w:val="fr-FR"/>
        </w:rPr>
        <w:t>,</w:t>
      </w:r>
      <w:r w:rsidR="003441FD" w:rsidRPr="00B2142C">
        <w:rPr>
          <w:rFonts w:ascii="Arial" w:hAnsi="Arial"/>
          <w:i/>
          <w:lang w:val="fr-FR"/>
        </w:rPr>
        <w:t xml:space="preserve"> qui peut être décidée par l’autorité compétente du pays dans lequel la marque a été enregistrée.</w:t>
      </w:r>
      <w:r w:rsidR="003441FD" w:rsidRPr="00B2142C">
        <w:rPr>
          <w:rFonts w:ascii="Arial" w:hAnsi="Arial"/>
          <w:lang w:val="fr-FR"/>
        </w:rPr>
        <w:t> »</w:t>
      </w:r>
      <w:r w:rsidR="003441FD" w:rsidRPr="00A80810">
        <w:rPr>
          <w:rStyle w:val="EndnoteReference"/>
          <w:rFonts w:ascii="Arial" w:hAnsi="Arial" w:cs="Arial"/>
        </w:rPr>
        <w:endnoteReference w:id="10"/>
      </w:r>
      <w:r w:rsidR="003441FD" w:rsidRPr="00B2142C">
        <w:rPr>
          <w:rFonts w:ascii="Arial" w:hAnsi="Arial"/>
          <w:lang w:val="fr-FR"/>
        </w:rPr>
        <w:t xml:space="preserve"> </w:t>
      </w:r>
    </w:p>
    <w:p w:rsidR="003441FD" w:rsidRPr="00B2142C" w:rsidRDefault="003441FD" w:rsidP="00F608C9">
      <w:pPr>
        <w:ind w:left="567" w:right="1819"/>
        <w:rPr>
          <w:b/>
          <w:color w:val="666633"/>
          <w:sz w:val="32"/>
          <w:szCs w:val="32"/>
          <w:lang w:val="fr-FR"/>
        </w:rPr>
        <w:sectPr w:rsidR="003441FD" w:rsidRPr="00B2142C" w:rsidSect="003441FD">
          <w:endnotePr>
            <w:numFmt w:val="decimal"/>
          </w:endnotePr>
          <w:type w:val="continuous"/>
          <w:pgSz w:w="11906" w:h="16838"/>
          <w:pgMar w:top="720" w:right="720" w:bottom="720" w:left="720" w:header="708" w:footer="708" w:gutter="0"/>
          <w:cols w:space="286"/>
          <w:docGrid w:linePitch="360"/>
        </w:sectPr>
      </w:pPr>
    </w:p>
    <w:p w:rsidR="00692C1C" w:rsidRPr="00B2142C" w:rsidRDefault="00692C1C" w:rsidP="00F608C9">
      <w:pPr>
        <w:spacing w:before="240" w:after="80"/>
        <w:ind w:left="567" w:right="1819"/>
        <w:rPr>
          <w:rFonts w:ascii="Arial" w:hAnsi="Arial"/>
          <w:b/>
          <w:color w:val="666633"/>
          <w:sz w:val="32"/>
          <w:szCs w:val="36"/>
          <w:lang w:val="fr-FR"/>
        </w:rPr>
      </w:pPr>
    </w:p>
    <w:p w:rsidR="003441FD" w:rsidRPr="00B140FD" w:rsidRDefault="003441FD" w:rsidP="00F608C9">
      <w:pPr>
        <w:spacing w:before="240" w:after="80"/>
        <w:ind w:left="567" w:right="1819"/>
        <w:rPr>
          <w:rFonts w:ascii="Arial" w:hAnsi="Arial" w:cs="Arial"/>
          <w:b/>
          <w:color w:val="666633"/>
          <w:sz w:val="32"/>
          <w:szCs w:val="36"/>
        </w:rPr>
      </w:pPr>
      <w:proofErr w:type="spellStart"/>
      <w:r>
        <w:rPr>
          <w:rFonts w:ascii="Arial" w:hAnsi="Arial"/>
          <w:b/>
          <w:color w:val="666633"/>
          <w:sz w:val="32"/>
          <w:szCs w:val="36"/>
        </w:rPr>
        <w:lastRenderedPageBreak/>
        <w:t>L’affaire</w:t>
      </w:r>
      <w:proofErr w:type="spellEnd"/>
      <w:r>
        <w:rPr>
          <w:rFonts w:ascii="Arial" w:hAnsi="Arial"/>
          <w:b/>
          <w:color w:val="666633"/>
          <w:sz w:val="32"/>
          <w:szCs w:val="36"/>
        </w:rPr>
        <w:t xml:space="preserve"> </w:t>
      </w:r>
      <w:proofErr w:type="spellStart"/>
      <w:r>
        <w:rPr>
          <w:rFonts w:ascii="Arial" w:hAnsi="Arial"/>
          <w:b/>
          <w:color w:val="666633"/>
          <w:sz w:val="32"/>
          <w:szCs w:val="36"/>
        </w:rPr>
        <w:t>examinée</w:t>
      </w:r>
      <w:proofErr w:type="spellEnd"/>
      <w:r>
        <w:rPr>
          <w:rFonts w:ascii="Arial" w:hAnsi="Arial"/>
          <w:b/>
          <w:color w:val="666633"/>
          <w:sz w:val="32"/>
          <w:szCs w:val="36"/>
        </w:rPr>
        <w:t xml:space="preserve"> par </w:t>
      </w:r>
      <w:proofErr w:type="spellStart"/>
      <w:r>
        <w:rPr>
          <w:rFonts w:ascii="Arial" w:hAnsi="Arial"/>
          <w:b/>
          <w:color w:val="666633"/>
          <w:sz w:val="32"/>
          <w:szCs w:val="36"/>
        </w:rPr>
        <w:t>l’OMC</w:t>
      </w:r>
      <w:proofErr w:type="spellEnd"/>
      <w:r>
        <w:rPr>
          <w:rFonts w:ascii="Arial" w:hAnsi="Arial"/>
          <w:b/>
          <w:color w:val="666633"/>
          <w:sz w:val="32"/>
          <w:szCs w:val="36"/>
        </w:rPr>
        <w:t xml:space="preserve">  </w:t>
      </w:r>
    </w:p>
    <w:p w:rsidR="003441FD" w:rsidRDefault="003441FD" w:rsidP="00F608C9">
      <w:pPr>
        <w:pStyle w:val="ListParagraph"/>
        <w:numPr>
          <w:ilvl w:val="0"/>
          <w:numId w:val="6"/>
        </w:numPr>
        <w:spacing w:after="80"/>
        <w:ind w:left="567" w:right="1819" w:firstLine="0"/>
        <w:contextualSpacing w:val="0"/>
        <w:rPr>
          <w:rFonts w:ascii="Arial" w:hAnsi="Arial" w:cs="Arial"/>
          <w:sz w:val="21"/>
          <w:szCs w:val="21"/>
        </w:rPr>
        <w:sectPr w:rsidR="003441FD" w:rsidSect="003441FD">
          <w:endnotePr>
            <w:numFmt w:val="decimal"/>
          </w:endnotePr>
          <w:type w:val="continuous"/>
          <w:pgSz w:w="11906" w:h="16838"/>
          <w:pgMar w:top="720" w:right="720" w:bottom="720" w:left="720" w:header="708" w:footer="708" w:gutter="0"/>
          <w:cols w:space="708"/>
          <w:docGrid w:linePitch="360"/>
        </w:sectPr>
      </w:pPr>
    </w:p>
    <w:p w:rsidR="003441FD" w:rsidRPr="00B2142C" w:rsidRDefault="003441FD" w:rsidP="00F608C9">
      <w:pPr>
        <w:spacing w:after="80"/>
        <w:ind w:left="567" w:right="1819"/>
        <w:jc w:val="both"/>
        <w:rPr>
          <w:rFonts w:ascii="Arial" w:hAnsi="Arial" w:cs="Arial"/>
          <w:lang w:val="fr-FR"/>
        </w:rPr>
      </w:pPr>
      <w:r w:rsidRPr="00B2142C">
        <w:rPr>
          <w:rFonts w:ascii="Arial" w:hAnsi="Arial"/>
          <w:lang w:val="fr-FR"/>
        </w:rPr>
        <w:lastRenderedPageBreak/>
        <w:t>Un groupe spécial de règlement des différends de l’Organisation mondiale du Commerce (OMC) statue actuellement sur des plaintes déposées par le Honduras, la République dominicaine, Cuba et l’Indonésie contre le conditionnement neutre en Australie, affirma</w:t>
      </w:r>
      <w:r w:rsidR="00692C1C" w:rsidRPr="00B2142C">
        <w:rPr>
          <w:rFonts w:ascii="Arial" w:hAnsi="Arial"/>
          <w:lang w:val="fr-FR"/>
        </w:rPr>
        <w:t>nt qu’il s’oppose à l’accord OCC et à l’accord sur les</w:t>
      </w:r>
      <w:r w:rsidRPr="00B2142C">
        <w:rPr>
          <w:rFonts w:ascii="Arial" w:hAnsi="Arial"/>
          <w:lang w:val="fr-FR"/>
        </w:rPr>
        <w:t xml:space="preserve"> ADPIC.</w:t>
      </w:r>
      <w:r w:rsidRPr="00A80810">
        <w:rPr>
          <w:rStyle w:val="EndnoteReference"/>
          <w:rFonts w:ascii="Arial" w:hAnsi="Arial" w:cs="Arial"/>
        </w:rPr>
        <w:endnoteReference w:id="11"/>
      </w:r>
      <w:r w:rsidRPr="00B2142C">
        <w:rPr>
          <w:rFonts w:ascii="Arial" w:hAnsi="Arial"/>
          <w:lang w:val="fr-FR"/>
        </w:rPr>
        <w:t xml:space="preserve"> (L’Ukraine a également entamé une procédure avant de retirer sa plainte</w:t>
      </w:r>
      <w:r w:rsidR="00692C1C" w:rsidRPr="00B2142C">
        <w:rPr>
          <w:rFonts w:ascii="Arial" w:hAnsi="Arial"/>
          <w:lang w:val="fr-FR"/>
        </w:rPr>
        <w:t xml:space="preserve"> ultérieurement</w:t>
      </w:r>
      <w:r w:rsidRPr="00B2142C">
        <w:rPr>
          <w:rFonts w:ascii="Arial" w:hAnsi="Arial"/>
          <w:lang w:val="fr-FR"/>
        </w:rPr>
        <w:t>.)</w:t>
      </w:r>
    </w:p>
    <w:p w:rsidR="003441FD" w:rsidRPr="00B2142C" w:rsidRDefault="003441FD" w:rsidP="00F608C9">
      <w:pPr>
        <w:spacing w:after="80"/>
        <w:ind w:left="567" w:right="1819"/>
        <w:jc w:val="both"/>
        <w:rPr>
          <w:rFonts w:ascii="Arial" w:hAnsi="Arial" w:cs="Arial"/>
          <w:lang w:val="fr-FR"/>
        </w:rPr>
      </w:pPr>
      <w:r w:rsidRPr="00B2142C">
        <w:rPr>
          <w:rFonts w:ascii="Arial" w:hAnsi="Arial"/>
          <w:lang w:val="fr-FR"/>
        </w:rPr>
        <w:t xml:space="preserve">Le groupe devrait </w:t>
      </w:r>
      <w:r w:rsidR="00692C1C" w:rsidRPr="00B2142C">
        <w:rPr>
          <w:rFonts w:ascii="Arial" w:hAnsi="Arial"/>
          <w:lang w:val="fr-FR"/>
        </w:rPr>
        <w:t>rendre</w:t>
      </w:r>
      <w:r w:rsidRPr="00B2142C">
        <w:rPr>
          <w:rFonts w:ascii="Arial" w:hAnsi="Arial"/>
          <w:lang w:val="fr-FR"/>
        </w:rPr>
        <w:t xml:space="preserve"> sa décision</w:t>
      </w:r>
      <w:r w:rsidR="00692C1C" w:rsidRPr="00B2142C">
        <w:rPr>
          <w:rFonts w:ascii="Arial" w:hAnsi="Arial"/>
          <w:lang w:val="fr-FR"/>
        </w:rPr>
        <w:t xml:space="preserve"> publique</w:t>
      </w:r>
      <w:r w:rsidRPr="00B2142C">
        <w:rPr>
          <w:rFonts w:ascii="Arial" w:hAnsi="Arial"/>
          <w:lang w:val="fr-FR"/>
        </w:rPr>
        <w:t xml:space="preserve"> en 2017. 34 États membres et l’Union européenne ont fait des communications de tiers, </w:t>
      </w:r>
      <w:r w:rsidR="00692C1C" w:rsidRPr="00B2142C">
        <w:rPr>
          <w:rFonts w:ascii="Arial" w:hAnsi="Arial"/>
          <w:lang w:val="fr-FR"/>
        </w:rPr>
        <w:t>bien plus</w:t>
      </w:r>
      <w:r w:rsidRPr="00B2142C">
        <w:rPr>
          <w:rFonts w:ascii="Arial" w:hAnsi="Arial"/>
          <w:lang w:val="fr-FR"/>
        </w:rPr>
        <w:t xml:space="preserve"> que dans tout différend précédent devant l’OMC. C’est une décision importante et très attendue. </w:t>
      </w:r>
    </w:p>
    <w:p w:rsidR="00F608C9" w:rsidRPr="00B2142C" w:rsidRDefault="003441FD" w:rsidP="00F608C9">
      <w:pPr>
        <w:spacing w:after="80"/>
        <w:ind w:left="567" w:right="1819"/>
        <w:jc w:val="both"/>
        <w:rPr>
          <w:rFonts w:ascii="Arial" w:hAnsi="Arial" w:cs="Arial"/>
          <w:lang w:val="fr-FR"/>
        </w:rPr>
      </w:pPr>
      <w:r w:rsidRPr="00B2142C">
        <w:rPr>
          <w:rFonts w:ascii="Arial" w:hAnsi="Arial"/>
          <w:lang w:val="fr-FR"/>
        </w:rPr>
        <w:t xml:space="preserve">Cependant, les gouvernements de nombreux pays ont examiné leurs obligations à l’égard de l’OMC et décidé d’agir avant que la décision ne soit rendue. En outre, comme indiqué ci-dessus, de nombreux tribunaux et cours ont </w:t>
      </w:r>
      <w:r w:rsidR="00692C1C" w:rsidRPr="00B2142C">
        <w:rPr>
          <w:rFonts w:ascii="Arial" w:hAnsi="Arial"/>
          <w:lang w:val="fr-FR"/>
        </w:rPr>
        <w:t>étudié</w:t>
      </w:r>
      <w:r w:rsidRPr="00B2142C">
        <w:rPr>
          <w:rFonts w:ascii="Arial" w:hAnsi="Arial"/>
          <w:lang w:val="fr-FR"/>
        </w:rPr>
        <w:t xml:space="preserve"> les accords de l’OMC et considéré que les lois sur le conditionnement neutre les respectaient.</w:t>
      </w:r>
    </w:p>
    <w:p w:rsidR="00F608C9" w:rsidRPr="00B2142C" w:rsidRDefault="00F608C9" w:rsidP="00F608C9">
      <w:pPr>
        <w:spacing w:after="80"/>
        <w:ind w:left="567" w:right="1819"/>
        <w:jc w:val="both"/>
        <w:rPr>
          <w:rFonts w:ascii="Arial" w:hAnsi="Arial" w:cs="Arial"/>
          <w:lang w:val="fr-FR"/>
        </w:rPr>
      </w:pPr>
    </w:p>
    <w:p w:rsidR="003441FD" w:rsidRPr="00B2142C" w:rsidRDefault="00692C1C" w:rsidP="00692C1C">
      <w:pPr>
        <w:spacing w:after="80"/>
        <w:ind w:left="567" w:right="1819"/>
        <w:jc w:val="both"/>
        <w:rPr>
          <w:rFonts w:ascii="Arial" w:hAnsi="Arial" w:cs="Arial"/>
          <w:b/>
          <w:color w:val="666633"/>
          <w:sz w:val="32"/>
          <w:szCs w:val="36"/>
          <w:lang w:val="fr-FR"/>
        </w:rPr>
      </w:pPr>
      <w:r w:rsidRPr="00B2142C">
        <w:rPr>
          <w:rFonts w:ascii="Arial" w:hAnsi="Arial"/>
          <w:b/>
          <w:color w:val="666633"/>
          <w:sz w:val="32"/>
          <w:szCs w:val="36"/>
          <w:lang w:val="fr-FR"/>
        </w:rPr>
        <w:t>Q</w:t>
      </w:r>
      <w:r w:rsidR="003441FD" w:rsidRPr="00B2142C">
        <w:rPr>
          <w:rFonts w:ascii="Arial" w:hAnsi="Arial"/>
          <w:b/>
          <w:color w:val="666633"/>
          <w:sz w:val="32"/>
          <w:szCs w:val="36"/>
          <w:lang w:val="fr-FR"/>
        </w:rPr>
        <w:t xml:space="preserve">uels sont les arguments des fabricants de tabac, et </w:t>
      </w:r>
      <w:r w:rsidRPr="00B2142C">
        <w:rPr>
          <w:rFonts w:ascii="Arial" w:hAnsi="Arial"/>
          <w:b/>
          <w:color w:val="666633"/>
          <w:sz w:val="32"/>
          <w:szCs w:val="36"/>
          <w:lang w:val="fr-FR"/>
        </w:rPr>
        <w:t>qu’ont décidé les</w:t>
      </w:r>
      <w:r w:rsidR="003441FD" w:rsidRPr="00B2142C">
        <w:rPr>
          <w:rFonts w:ascii="Arial" w:hAnsi="Arial"/>
          <w:b/>
          <w:color w:val="666633"/>
          <w:sz w:val="32"/>
          <w:szCs w:val="36"/>
          <w:lang w:val="fr-FR"/>
        </w:rPr>
        <w:t xml:space="preserve"> tribunaux dans les autres pays ?</w:t>
      </w:r>
    </w:p>
    <w:p w:rsidR="003441FD" w:rsidRPr="00B2142C" w:rsidRDefault="006B629F" w:rsidP="00F608C9">
      <w:pPr>
        <w:spacing w:after="0" w:line="240" w:lineRule="auto"/>
        <w:ind w:left="567" w:right="1961"/>
        <w:rPr>
          <w:rFonts w:ascii="Arial" w:hAnsi="Arial" w:cs="Arial"/>
          <w:lang w:val="fr-FR"/>
        </w:rPr>
      </w:pPr>
      <w:r w:rsidRPr="00B2142C">
        <w:rPr>
          <w:rFonts w:ascii="Arial" w:hAnsi="Arial"/>
          <w:lang w:val="fr-FR"/>
        </w:rPr>
        <w:t>C</w:t>
      </w:r>
      <w:r w:rsidR="003441FD" w:rsidRPr="00B2142C">
        <w:rPr>
          <w:rFonts w:ascii="Arial" w:hAnsi="Arial"/>
          <w:lang w:val="fr-FR"/>
        </w:rPr>
        <w:t>i-dessous</w:t>
      </w:r>
      <w:r w:rsidRPr="00B2142C">
        <w:rPr>
          <w:rFonts w:ascii="Arial" w:hAnsi="Arial"/>
          <w:lang w:val="fr-FR"/>
        </w:rPr>
        <w:t>,</w:t>
      </w:r>
      <w:r w:rsidR="003441FD" w:rsidRPr="00B2142C">
        <w:rPr>
          <w:rFonts w:ascii="Arial" w:hAnsi="Arial"/>
          <w:lang w:val="fr-FR"/>
        </w:rPr>
        <w:t xml:space="preserve"> quelques </w:t>
      </w:r>
      <w:r w:rsidRPr="00B2142C">
        <w:rPr>
          <w:rFonts w:ascii="Arial" w:hAnsi="Arial"/>
          <w:lang w:val="fr-FR"/>
        </w:rPr>
        <w:t>affirmations</w:t>
      </w:r>
      <w:r w:rsidR="003441FD" w:rsidRPr="00B2142C">
        <w:rPr>
          <w:rFonts w:ascii="Arial" w:hAnsi="Arial"/>
          <w:lang w:val="fr-FR"/>
        </w:rPr>
        <w:t xml:space="preserve"> de tribunaux</w:t>
      </w:r>
      <w:r w:rsidRPr="00B2142C">
        <w:rPr>
          <w:rFonts w:ascii="Arial" w:hAnsi="Arial"/>
          <w:lang w:val="fr-FR"/>
        </w:rPr>
        <w:t xml:space="preserve"> ayant rejeté</w:t>
      </w:r>
      <w:r w:rsidR="003441FD" w:rsidRPr="00B2142C">
        <w:rPr>
          <w:rFonts w:ascii="Arial" w:hAnsi="Arial"/>
          <w:lang w:val="fr-FR"/>
        </w:rPr>
        <w:t xml:space="preserve"> les </w:t>
      </w:r>
      <w:r w:rsidRPr="00B2142C">
        <w:rPr>
          <w:rFonts w:ascii="Arial" w:hAnsi="Arial"/>
          <w:lang w:val="fr-FR"/>
        </w:rPr>
        <w:t>recours juridictionnels</w:t>
      </w:r>
      <w:r w:rsidR="003441FD" w:rsidRPr="00B2142C">
        <w:rPr>
          <w:rFonts w:ascii="Arial" w:hAnsi="Arial"/>
          <w:lang w:val="fr-FR"/>
        </w:rPr>
        <w:t xml:space="preserve"> des fabricants de tabac contre le conditionnement ne</w:t>
      </w:r>
      <w:r w:rsidR="007943C4" w:rsidRPr="00B2142C">
        <w:rPr>
          <w:rFonts w:ascii="Arial" w:hAnsi="Arial"/>
          <w:lang w:val="fr-FR"/>
        </w:rPr>
        <w:t>utre. Des résumés et des analyse</w:t>
      </w:r>
      <w:r w:rsidR="003441FD" w:rsidRPr="00B2142C">
        <w:rPr>
          <w:rFonts w:ascii="Arial" w:hAnsi="Arial"/>
          <w:lang w:val="fr-FR"/>
        </w:rPr>
        <w:t>s plus détaillés sont disponibles [les numéros des paragraphes d</w:t>
      </w:r>
      <w:r w:rsidRPr="00B2142C">
        <w:rPr>
          <w:rFonts w:ascii="Arial" w:hAnsi="Arial"/>
          <w:lang w:val="fr-FR"/>
        </w:rPr>
        <w:t>es</w:t>
      </w:r>
      <w:r w:rsidR="003441FD" w:rsidRPr="00B2142C">
        <w:rPr>
          <w:rFonts w:ascii="Arial" w:hAnsi="Arial"/>
          <w:lang w:val="fr-FR"/>
        </w:rPr>
        <w:t xml:space="preserve"> jugement</w:t>
      </w:r>
      <w:r w:rsidRPr="00B2142C">
        <w:rPr>
          <w:rFonts w:ascii="Arial" w:hAnsi="Arial"/>
          <w:lang w:val="fr-FR"/>
        </w:rPr>
        <w:t>s</w:t>
      </w:r>
      <w:r w:rsidR="003441FD" w:rsidRPr="00B2142C">
        <w:rPr>
          <w:rFonts w:ascii="Arial" w:hAnsi="Arial"/>
          <w:lang w:val="fr-FR"/>
        </w:rPr>
        <w:t xml:space="preserve"> sont indiqués entre crochets.]</w:t>
      </w:r>
    </w:p>
    <w:p w:rsidR="003441FD" w:rsidRPr="00B2142C" w:rsidRDefault="003441FD" w:rsidP="00F608C9">
      <w:pPr>
        <w:spacing w:after="0" w:line="240" w:lineRule="auto"/>
        <w:ind w:left="567" w:right="1961"/>
        <w:rPr>
          <w:rFonts w:ascii="Arial" w:hAnsi="Arial" w:cs="Arial"/>
          <w:b/>
          <w:color w:val="666633"/>
          <w:lang w:val="fr-FR"/>
        </w:rPr>
      </w:pPr>
    </w:p>
    <w:p w:rsidR="003441FD" w:rsidRPr="00B2142C" w:rsidRDefault="003441FD" w:rsidP="00F608C9">
      <w:pPr>
        <w:pStyle w:val="ListParagraph"/>
        <w:numPr>
          <w:ilvl w:val="0"/>
          <w:numId w:val="8"/>
        </w:numPr>
        <w:spacing w:after="80" w:line="240" w:lineRule="auto"/>
        <w:ind w:left="567" w:right="1961" w:firstLine="0"/>
        <w:contextualSpacing w:val="0"/>
        <w:rPr>
          <w:rFonts w:ascii="Arial" w:hAnsi="Arial" w:cs="Arial"/>
          <w:lang w:val="fr-FR"/>
        </w:rPr>
        <w:sectPr w:rsidR="003441FD" w:rsidRPr="00B2142C" w:rsidSect="003441FD">
          <w:endnotePr>
            <w:numFmt w:val="decimal"/>
          </w:endnotePr>
          <w:type w:val="continuous"/>
          <w:pgSz w:w="11906" w:h="16838"/>
          <w:pgMar w:top="720" w:right="720" w:bottom="720" w:left="720" w:header="708" w:footer="708" w:gutter="0"/>
          <w:cols w:space="708"/>
          <w:docGrid w:linePitch="360"/>
        </w:sectPr>
      </w:pPr>
    </w:p>
    <w:p w:rsidR="003441FD" w:rsidRPr="00B2142C" w:rsidRDefault="003441FD" w:rsidP="00F608C9">
      <w:pPr>
        <w:pStyle w:val="ListParagraph"/>
        <w:numPr>
          <w:ilvl w:val="0"/>
          <w:numId w:val="8"/>
        </w:numPr>
        <w:spacing w:after="80" w:line="240" w:lineRule="auto"/>
        <w:ind w:left="567" w:right="1961" w:firstLine="0"/>
        <w:contextualSpacing w:val="0"/>
        <w:jc w:val="both"/>
        <w:rPr>
          <w:rFonts w:ascii="Arial" w:hAnsi="Arial" w:cs="Arial"/>
          <w:color w:val="833C0B" w:themeColor="accent2" w:themeShade="80"/>
          <w:lang w:val="fr-FR"/>
        </w:rPr>
      </w:pPr>
      <w:r w:rsidRPr="00B2142C">
        <w:rPr>
          <w:rFonts w:ascii="Arial" w:hAnsi="Arial"/>
          <w:color w:val="833C0B" w:themeColor="accent2" w:themeShade="80"/>
          <w:lang w:val="fr-FR"/>
        </w:rPr>
        <w:lastRenderedPageBreak/>
        <w:t xml:space="preserve">Le conditionnement neutre n’est pas « justifié », « nécessaire » ni « proportionné » puisque les preuves ne confirment pas le fait que la politique permettra de réduire les taux de tabagisme. </w:t>
      </w:r>
    </w:p>
    <w:p w:rsidR="003441FD" w:rsidRPr="00B2142C" w:rsidRDefault="003441FD" w:rsidP="00F608C9">
      <w:pPr>
        <w:pStyle w:val="ListParagraph"/>
        <w:spacing w:after="80" w:line="240" w:lineRule="auto"/>
        <w:ind w:left="567" w:right="1961"/>
        <w:contextualSpacing w:val="0"/>
        <w:jc w:val="both"/>
        <w:rPr>
          <w:rFonts w:ascii="Arial" w:hAnsi="Arial" w:cs="Arial"/>
          <w:lang w:val="fr-FR"/>
        </w:rPr>
      </w:pPr>
      <w:r w:rsidRPr="00B2142C">
        <w:rPr>
          <w:rFonts w:ascii="Arial" w:hAnsi="Arial"/>
          <w:b/>
          <w:lang w:val="fr-FR"/>
        </w:rPr>
        <w:t>Haute Cour du Royaume-Uni</w:t>
      </w:r>
      <w:r w:rsidRPr="00B2142C">
        <w:rPr>
          <w:rFonts w:ascii="Arial" w:hAnsi="Arial"/>
          <w:lang w:val="fr-FR"/>
        </w:rPr>
        <w:t> : « </w:t>
      </w:r>
      <w:r w:rsidR="006B629F" w:rsidRPr="00B2142C">
        <w:rPr>
          <w:rFonts w:ascii="Arial" w:hAnsi="Arial"/>
          <w:i/>
          <w:lang w:val="fr-FR"/>
        </w:rPr>
        <w:t>À mon avis</w:t>
      </w:r>
      <w:r w:rsidRPr="00B2142C">
        <w:rPr>
          <w:rFonts w:ascii="Arial" w:hAnsi="Arial"/>
          <w:i/>
          <w:lang w:val="fr-FR"/>
        </w:rPr>
        <w:t xml:space="preserve"> les preuves qualitatives citées par le [gouvernement] sont convaincantes, substantielles et massivement univoques dans leur conclusion</w:t>
      </w:r>
      <w:r w:rsidRPr="00B2142C">
        <w:rPr>
          <w:rFonts w:ascii="Arial" w:hAnsi="Arial"/>
          <w:lang w:val="fr-FR"/>
        </w:rPr>
        <w:t> » selon laquelle le conditio</w:t>
      </w:r>
      <w:r w:rsidR="001E31CB" w:rsidRPr="00B2142C">
        <w:rPr>
          <w:rFonts w:ascii="Arial" w:hAnsi="Arial"/>
          <w:lang w:val="fr-FR"/>
        </w:rPr>
        <w:t>nnement neutre sera efficace. [</w:t>
      </w:r>
      <w:r w:rsidRPr="00B2142C">
        <w:rPr>
          <w:rFonts w:ascii="Arial" w:hAnsi="Arial"/>
          <w:lang w:val="fr-FR"/>
        </w:rPr>
        <w:t xml:space="preserve">592] </w:t>
      </w:r>
    </w:p>
    <w:p w:rsidR="003441FD" w:rsidRPr="00A80810" w:rsidRDefault="003441FD" w:rsidP="00F608C9">
      <w:pPr>
        <w:pStyle w:val="ListParagraph"/>
        <w:spacing w:after="0" w:line="240" w:lineRule="auto"/>
        <w:ind w:left="567" w:right="1961"/>
        <w:jc w:val="both"/>
        <w:rPr>
          <w:rFonts w:ascii="Arial" w:hAnsi="Arial" w:cs="Arial"/>
        </w:rPr>
      </w:pPr>
      <w:r w:rsidRPr="00B2142C">
        <w:rPr>
          <w:rFonts w:ascii="Arial" w:hAnsi="Arial"/>
          <w:b/>
          <w:lang w:val="fr-FR"/>
        </w:rPr>
        <w:t>Haute Cour d’Australie</w:t>
      </w:r>
      <w:r w:rsidRPr="00B2142C">
        <w:rPr>
          <w:rFonts w:ascii="Arial" w:hAnsi="Arial"/>
          <w:lang w:val="fr-FR"/>
        </w:rPr>
        <w:t> : Les exigences en matière de conditionnement neutre « </w:t>
      </w:r>
      <w:r w:rsidRPr="00B2142C">
        <w:rPr>
          <w:rFonts w:ascii="Arial" w:hAnsi="Arial"/>
          <w:i/>
          <w:lang w:val="fr-FR"/>
        </w:rPr>
        <w:t>ne sont pas différentes en nature d’une autre législation qui exige des étiquettes de mise en garde contre l’utilisation ou l’utilisation abusive d'un produit.</w:t>
      </w:r>
      <w:r w:rsidR="001E31CB" w:rsidRPr="00B2142C">
        <w:rPr>
          <w:rFonts w:ascii="Arial" w:hAnsi="Arial"/>
          <w:lang w:val="fr-FR"/>
        </w:rPr>
        <w:t xml:space="preserve"> » </w:t>
      </w:r>
      <w:r w:rsidR="001E31CB">
        <w:rPr>
          <w:rFonts w:ascii="Arial" w:hAnsi="Arial"/>
        </w:rPr>
        <w:t>[</w:t>
      </w:r>
      <w:r>
        <w:rPr>
          <w:rFonts w:ascii="Arial" w:hAnsi="Arial"/>
        </w:rPr>
        <w:t>181]</w:t>
      </w:r>
    </w:p>
    <w:p w:rsidR="003441FD" w:rsidRPr="00A80810" w:rsidRDefault="003441FD" w:rsidP="00F608C9">
      <w:pPr>
        <w:pStyle w:val="ListParagraph"/>
        <w:spacing w:after="0" w:line="240" w:lineRule="auto"/>
        <w:ind w:left="567" w:right="1961"/>
        <w:jc w:val="both"/>
        <w:rPr>
          <w:rFonts w:ascii="Arial" w:hAnsi="Arial" w:cs="Arial"/>
        </w:rPr>
      </w:pPr>
    </w:p>
    <w:p w:rsidR="003441FD" w:rsidRPr="00B2142C" w:rsidRDefault="003441FD" w:rsidP="00F608C9">
      <w:pPr>
        <w:pStyle w:val="ListParagraph"/>
        <w:numPr>
          <w:ilvl w:val="0"/>
          <w:numId w:val="8"/>
        </w:numPr>
        <w:spacing w:after="80" w:line="240" w:lineRule="auto"/>
        <w:ind w:left="567" w:right="1961" w:firstLine="0"/>
        <w:contextualSpacing w:val="0"/>
        <w:jc w:val="both"/>
        <w:rPr>
          <w:rFonts w:ascii="Arial" w:hAnsi="Arial" w:cs="Arial"/>
          <w:color w:val="833C0B" w:themeColor="accent2" w:themeShade="80"/>
          <w:lang w:val="fr-FR"/>
        </w:rPr>
      </w:pPr>
      <w:r w:rsidRPr="00B2142C">
        <w:rPr>
          <w:rFonts w:ascii="Arial" w:hAnsi="Arial"/>
          <w:color w:val="833C0B" w:themeColor="accent2" w:themeShade="80"/>
          <w:lang w:val="fr-FR"/>
        </w:rPr>
        <w:t>Le conditionnement neutre est une « expropriation », une « privation » ou une « acquisition </w:t>
      </w:r>
      <w:r w:rsidR="006B629F" w:rsidRPr="00B2142C">
        <w:rPr>
          <w:rFonts w:ascii="Arial" w:hAnsi="Arial"/>
          <w:color w:val="833C0B" w:themeColor="accent2" w:themeShade="80"/>
          <w:lang w:val="fr-FR"/>
        </w:rPr>
        <w:t>» des droits de propriété sur no</w:t>
      </w:r>
      <w:r w:rsidRPr="00B2142C">
        <w:rPr>
          <w:rFonts w:ascii="Arial" w:hAnsi="Arial"/>
          <w:color w:val="833C0B" w:themeColor="accent2" w:themeShade="80"/>
          <w:lang w:val="fr-FR"/>
        </w:rPr>
        <w:t>s marques.</w:t>
      </w:r>
    </w:p>
    <w:p w:rsidR="003441FD" w:rsidRPr="00A80810" w:rsidRDefault="006B629F" w:rsidP="00F608C9">
      <w:pPr>
        <w:pStyle w:val="ListParagraph"/>
        <w:spacing w:after="0" w:line="240" w:lineRule="auto"/>
        <w:ind w:left="567" w:right="1961"/>
        <w:jc w:val="both"/>
        <w:rPr>
          <w:rFonts w:ascii="Arial" w:hAnsi="Arial" w:cs="Arial"/>
        </w:rPr>
      </w:pPr>
      <w:r w:rsidRPr="00B2142C">
        <w:rPr>
          <w:rFonts w:ascii="Arial" w:hAnsi="Arial"/>
          <w:b/>
          <w:lang w:val="fr-FR"/>
        </w:rPr>
        <w:t>Conseil C</w:t>
      </w:r>
      <w:r w:rsidR="003441FD" w:rsidRPr="00B2142C">
        <w:rPr>
          <w:rFonts w:ascii="Arial" w:hAnsi="Arial"/>
          <w:b/>
          <w:lang w:val="fr-FR"/>
        </w:rPr>
        <w:t>onstitutionnel français :</w:t>
      </w:r>
      <w:r w:rsidR="003441FD" w:rsidRPr="00B2142C">
        <w:rPr>
          <w:rFonts w:ascii="Arial" w:hAnsi="Arial"/>
          <w:lang w:val="fr-FR"/>
        </w:rPr>
        <w:t xml:space="preserve"> « </w:t>
      </w:r>
      <w:r w:rsidR="003441FD" w:rsidRPr="00B2142C">
        <w:rPr>
          <w:rFonts w:ascii="Arial" w:hAnsi="Arial"/>
          <w:i/>
          <w:lang w:val="fr-FR"/>
        </w:rPr>
        <w:t xml:space="preserve">Il ne s’agit pas en l'espèce d’une </w:t>
      </w:r>
      <w:proofErr w:type="gramStart"/>
      <w:r w:rsidR="003441FD" w:rsidRPr="00B2142C">
        <w:rPr>
          <w:rFonts w:ascii="Arial" w:hAnsi="Arial"/>
          <w:i/>
          <w:lang w:val="fr-FR"/>
        </w:rPr>
        <w:t>expropriation .</w:t>
      </w:r>
      <w:proofErr w:type="gramEnd"/>
      <w:r w:rsidR="003441FD" w:rsidRPr="00B2142C">
        <w:rPr>
          <w:rFonts w:ascii="Arial" w:hAnsi="Arial"/>
          <w:i/>
          <w:lang w:val="fr-FR"/>
        </w:rPr>
        <w:t xml:space="preserve"> . </w:t>
      </w:r>
      <w:proofErr w:type="gramStart"/>
      <w:r w:rsidR="003441FD" w:rsidRPr="00B2142C">
        <w:rPr>
          <w:rFonts w:ascii="Arial" w:hAnsi="Arial"/>
          <w:i/>
          <w:lang w:val="fr-FR"/>
        </w:rPr>
        <w:t>mais</w:t>
      </w:r>
      <w:proofErr w:type="gramEnd"/>
      <w:r w:rsidR="003441FD" w:rsidRPr="00B2142C">
        <w:rPr>
          <w:rFonts w:ascii="Arial" w:hAnsi="Arial"/>
          <w:i/>
          <w:lang w:val="fr-FR"/>
        </w:rPr>
        <w:t xml:space="preserve"> d'une limitation des droits de propriété justifiée par l’objectif visant à protéger la santé publique.</w:t>
      </w:r>
      <w:r w:rsidR="001E31CB" w:rsidRPr="00B2142C">
        <w:rPr>
          <w:rFonts w:ascii="Arial" w:hAnsi="Arial"/>
          <w:lang w:val="fr-FR"/>
        </w:rPr>
        <w:t xml:space="preserve"> » </w:t>
      </w:r>
      <w:r w:rsidR="001E31CB">
        <w:rPr>
          <w:rFonts w:ascii="Arial" w:hAnsi="Arial"/>
        </w:rPr>
        <w:t>[</w:t>
      </w:r>
      <w:r w:rsidR="003441FD">
        <w:rPr>
          <w:rFonts w:ascii="Arial" w:hAnsi="Arial"/>
        </w:rPr>
        <w:t>20]</w:t>
      </w:r>
    </w:p>
    <w:p w:rsidR="003441FD" w:rsidRPr="00A80810" w:rsidRDefault="003441FD" w:rsidP="00F608C9">
      <w:pPr>
        <w:pStyle w:val="ListParagraph"/>
        <w:spacing w:after="0" w:line="240" w:lineRule="auto"/>
        <w:ind w:left="567" w:right="1961"/>
        <w:jc w:val="both"/>
        <w:rPr>
          <w:rFonts w:ascii="Arial" w:hAnsi="Arial" w:cs="Arial"/>
        </w:rPr>
      </w:pPr>
      <w:r w:rsidRPr="00B2142C">
        <w:rPr>
          <w:rFonts w:ascii="Arial" w:hAnsi="Arial"/>
          <w:b/>
          <w:lang w:val="fr-FR"/>
        </w:rPr>
        <w:t>Haute Cour d’Australie</w:t>
      </w:r>
      <w:r w:rsidRPr="00B2142C">
        <w:rPr>
          <w:rFonts w:ascii="Arial" w:hAnsi="Arial"/>
          <w:lang w:val="fr-FR"/>
        </w:rPr>
        <w:t> : « </w:t>
      </w:r>
      <w:r w:rsidRPr="00B2142C">
        <w:rPr>
          <w:rFonts w:ascii="Arial" w:hAnsi="Arial"/>
          <w:i/>
          <w:lang w:val="fr-FR"/>
        </w:rPr>
        <w:t>Ni le Commonwealth ni aucune autre personne n’a acquis aucune propriété.</w:t>
      </w:r>
      <w:r w:rsidRPr="00B2142C">
        <w:rPr>
          <w:rFonts w:ascii="Arial" w:hAnsi="Arial"/>
          <w:lang w:val="fr-FR"/>
        </w:rPr>
        <w:t xml:space="preserve"> » </w:t>
      </w:r>
      <w:r>
        <w:rPr>
          <w:rFonts w:ascii="Arial" w:hAnsi="Arial"/>
        </w:rPr>
        <w:t xml:space="preserve">[Résumé </w:t>
      </w:r>
      <w:proofErr w:type="spellStart"/>
      <w:r>
        <w:rPr>
          <w:rFonts w:ascii="Arial" w:hAnsi="Arial"/>
        </w:rPr>
        <w:t>officiel</w:t>
      </w:r>
      <w:proofErr w:type="spellEnd"/>
      <w:r>
        <w:rPr>
          <w:rFonts w:ascii="Arial" w:hAnsi="Arial"/>
        </w:rPr>
        <w:t xml:space="preserve"> de la </w:t>
      </w:r>
      <w:proofErr w:type="spellStart"/>
      <w:r>
        <w:rPr>
          <w:rFonts w:ascii="Arial" w:hAnsi="Arial"/>
        </w:rPr>
        <w:t>Cour</w:t>
      </w:r>
      <w:proofErr w:type="spellEnd"/>
      <w:r>
        <w:rPr>
          <w:rFonts w:ascii="Arial" w:hAnsi="Arial"/>
        </w:rPr>
        <w:t>]</w:t>
      </w:r>
    </w:p>
    <w:p w:rsidR="003441FD" w:rsidRPr="00A80810" w:rsidRDefault="003441FD" w:rsidP="00F608C9">
      <w:pPr>
        <w:pStyle w:val="ListParagraph"/>
        <w:spacing w:after="0" w:line="240" w:lineRule="auto"/>
        <w:ind w:left="567" w:right="1961"/>
        <w:jc w:val="both"/>
        <w:rPr>
          <w:rFonts w:ascii="Arial" w:hAnsi="Arial" w:cs="Arial"/>
        </w:rPr>
      </w:pPr>
    </w:p>
    <w:p w:rsidR="003441FD" w:rsidRPr="00B2142C" w:rsidRDefault="003441FD" w:rsidP="00F608C9">
      <w:pPr>
        <w:pStyle w:val="ListParagraph"/>
        <w:numPr>
          <w:ilvl w:val="0"/>
          <w:numId w:val="8"/>
        </w:numPr>
        <w:spacing w:after="80" w:line="240" w:lineRule="auto"/>
        <w:ind w:left="567" w:right="1961" w:firstLine="0"/>
        <w:contextualSpacing w:val="0"/>
        <w:jc w:val="both"/>
        <w:rPr>
          <w:rFonts w:ascii="Arial" w:hAnsi="Arial" w:cs="Arial"/>
          <w:color w:val="833C0B" w:themeColor="accent2" w:themeShade="80"/>
          <w:lang w:val="fr-FR"/>
        </w:rPr>
      </w:pPr>
      <w:r w:rsidRPr="00B2142C">
        <w:rPr>
          <w:rFonts w:ascii="Arial" w:hAnsi="Arial"/>
          <w:color w:val="833C0B" w:themeColor="accent2" w:themeShade="80"/>
          <w:lang w:val="fr-FR"/>
        </w:rPr>
        <w:t>Le conditionnement neutre est incompatible avec les lois sur la propriété intellectuelle et le « droit d'utilisation » d’une marque.</w:t>
      </w:r>
    </w:p>
    <w:p w:rsidR="003441FD" w:rsidRPr="00A80810" w:rsidRDefault="003441FD" w:rsidP="00F608C9">
      <w:pPr>
        <w:pStyle w:val="ListParagraph"/>
        <w:spacing w:after="0" w:line="240" w:lineRule="auto"/>
        <w:ind w:left="567" w:right="1961"/>
        <w:jc w:val="both"/>
        <w:rPr>
          <w:rFonts w:ascii="Arial" w:hAnsi="Arial" w:cs="Arial"/>
        </w:rPr>
      </w:pPr>
      <w:r w:rsidRPr="00B2142C">
        <w:rPr>
          <w:rFonts w:ascii="Arial" w:hAnsi="Arial"/>
          <w:b/>
          <w:lang w:val="fr-FR"/>
        </w:rPr>
        <w:t>Haute Cour du Royaume-Uni</w:t>
      </w:r>
      <w:r w:rsidRPr="00B2142C">
        <w:rPr>
          <w:rFonts w:ascii="Arial" w:hAnsi="Arial"/>
          <w:lang w:val="fr-FR"/>
        </w:rPr>
        <w:t> : « </w:t>
      </w:r>
      <w:r w:rsidRPr="00B2142C">
        <w:rPr>
          <w:rFonts w:ascii="Arial" w:hAnsi="Arial"/>
          <w:i/>
          <w:lang w:val="fr-FR"/>
        </w:rPr>
        <w:t>Il n’est pas inscrit dans le droit commun national, européen ou international de la propriété intellectuelle que la fonction légitime d'une marque (à savoir son essence ou sa substance) doit être définie afin d’inclure un droit d'utilisation de la marque permettant de nuire à la santé publique</w:t>
      </w:r>
      <w:r w:rsidR="001E31CB" w:rsidRPr="00B2142C">
        <w:rPr>
          <w:rFonts w:ascii="Arial" w:hAnsi="Arial"/>
          <w:lang w:val="fr-FR"/>
        </w:rPr>
        <w:t xml:space="preserve">. » </w:t>
      </w:r>
      <w:r w:rsidR="001E31CB">
        <w:rPr>
          <w:rFonts w:ascii="Arial" w:hAnsi="Arial"/>
        </w:rPr>
        <w:t>[</w:t>
      </w:r>
      <w:r>
        <w:rPr>
          <w:rFonts w:ascii="Arial" w:hAnsi="Arial"/>
        </w:rPr>
        <w:t>40]</w:t>
      </w:r>
    </w:p>
    <w:p w:rsidR="003441FD" w:rsidRPr="00A80810" w:rsidRDefault="003441FD" w:rsidP="00F608C9">
      <w:pPr>
        <w:pStyle w:val="ListParagraph"/>
        <w:spacing w:after="0" w:line="240" w:lineRule="auto"/>
        <w:ind w:left="567" w:right="1961"/>
        <w:jc w:val="both"/>
        <w:rPr>
          <w:rFonts w:ascii="Arial" w:hAnsi="Arial" w:cs="Arial"/>
        </w:rPr>
      </w:pPr>
    </w:p>
    <w:p w:rsidR="003441FD" w:rsidRPr="00B2142C" w:rsidRDefault="006B629F" w:rsidP="00F608C9">
      <w:pPr>
        <w:pStyle w:val="ListParagraph"/>
        <w:numPr>
          <w:ilvl w:val="0"/>
          <w:numId w:val="8"/>
        </w:numPr>
        <w:spacing w:after="80" w:line="240" w:lineRule="auto"/>
        <w:ind w:left="567" w:right="1961" w:firstLine="0"/>
        <w:contextualSpacing w:val="0"/>
        <w:jc w:val="both"/>
        <w:rPr>
          <w:rFonts w:ascii="Arial" w:hAnsi="Arial" w:cs="Arial"/>
          <w:color w:val="833C0B" w:themeColor="accent2" w:themeShade="80"/>
          <w:lang w:val="fr-FR"/>
        </w:rPr>
      </w:pPr>
      <w:r w:rsidRPr="00B2142C">
        <w:rPr>
          <w:rFonts w:ascii="Arial" w:hAnsi="Arial"/>
          <w:color w:val="833C0B" w:themeColor="accent2" w:themeShade="80"/>
          <w:lang w:val="fr-FR"/>
        </w:rPr>
        <w:t xml:space="preserve">Le conditionnement neutre enfreint </w:t>
      </w:r>
      <w:r w:rsidR="003441FD" w:rsidRPr="00B2142C">
        <w:rPr>
          <w:rFonts w:ascii="Arial" w:hAnsi="Arial"/>
          <w:color w:val="833C0B" w:themeColor="accent2" w:themeShade="80"/>
          <w:lang w:val="fr-FR"/>
        </w:rPr>
        <w:t>les règles de l’Organisation mondiale du Commerce et les traités internationaux.</w:t>
      </w:r>
    </w:p>
    <w:p w:rsidR="003441FD" w:rsidRDefault="003441FD" w:rsidP="00F608C9">
      <w:pPr>
        <w:pStyle w:val="ListParagraph"/>
        <w:spacing w:after="0" w:line="240" w:lineRule="auto"/>
        <w:ind w:left="567" w:right="1961"/>
        <w:jc w:val="both"/>
        <w:rPr>
          <w:rFonts w:ascii="Arial" w:hAnsi="Arial" w:cs="Arial"/>
        </w:rPr>
      </w:pPr>
      <w:r w:rsidRPr="00B2142C">
        <w:rPr>
          <w:rFonts w:ascii="Arial" w:hAnsi="Arial"/>
          <w:b/>
          <w:lang w:val="fr-FR"/>
        </w:rPr>
        <w:lastRenderedPageBreak/>
        <w:t>France Conseil d’État</w:t>
      </w:r>
      <w:r w:rsidRPr="00B2142C">
        <w:rPr>
          <w:rFonts w:ascii="Arial" w:hAnsi="Arial"/>
          <w:lang w:val="fr-FR"/>
        </w:rPr>
        <w:t> : Les dispositions de</w:t>
      </w:r>
      <w:r w:rsidR="006B629F" w:rsidRPr="00B2142C">
        <w:rPr>
          <w:rFonts w:ascii="Arial" w:hAnsi="Arial"/>
          <w:lang w:val="fr-FR"/>
        </w:rPr>
        <w:t xml:space="preserve"> l’accord sur les </w:t>
      </w:r>
      <w:r w:rsidRPr="00B2142C">
        <w:rPr>
          <w:rFonts w:ascii="Arial" w:hAnsi="Arial"/>
          <w:lang w:val="fr-FR"/>
        </w:rPr>
        <w:t>ADPIC de l’OMC et de la Convention de Paris « </w:t>
      </w:r>
      <w:r w:rsidRPr="00B2142C">
        <w:rPr>
          <w:rFonts w:ascii="Arial" w:hAnsi="Arial"/>
          <w:i/>
          <w:lang w:val="fr-FR"/>
        </w:rPr>
        <w:t xml:space="preserve">n’interdisent en aucun cas aux États parties d’user de la faculté, </w:t>
      </w:r>
      <w:r w:rsidR="006B629F" w:rsidRPr="00B2142C">
        <w:rPr>
          <w:rFonts w:ascii="Arial" w:hAnsi="Arial"/>
          <w:i/>
          <w:lang w:val="fr-FR"/>
        </w:rPr>
        <w:t>qui  leur est toujours ouverte</w:t>
      </w:r>
      <w:r w:rsidRPr="00B2142C">
        <w:rPr>
          <w:rFonts w:ascii="Arial" w:hAnsi="Arial"/>
          <w:i/>
          <w:lang w:val="fr-FR"/>
        </w:rPr>
        <w:t>, d’adopter les mesures nécessaires à la protectio</w:t>
      </w:r>
      <w:r w:rsidR="006B629F" w:rsidRPr="00B2142C">
        <w:rPr>
          <w:rFonts w:ascii="Arial" w:hAnsi="Arial"/>
          <w:i/>
          <w:lang w:val="fr-FR"/>
        </w:rPr>
        <w:t>n de la santé publique, qui peuvent</w:t>
      </w:r>
      <w:r w:rsidRPr="00B2142C">
        <w:rPr>
          <w:rFonts w:ascii="Arial" w:hAnsi="Arial"/>
          <w:i/>
          <w:lang w:val="fr-FR"/>
        </w:rPr>
        <w:t xml:space="preserve"> être </w:t>
      </w:r>
      <w:r w:rsidR="006B629F" w:rsidRPr="00B2142C">
        <w:rPr>
          <w:rFonts w:ascii="Arial" w:hAnsi="Arial"/>
          <w:i/>
          <w:lang w:val="fr-FR"/>
        </w:rPr>
        <w:t>appliquées</w:t>
      </w:r>
      <w:r w:rsidRPr="00B2142C">
        <w:rPr>
          <w:rFonts w:ascii="Arial" w:hAnsi="Arial"/>
          <w:i/>
          <w:lang w:val="fr-FR"/>
        </w:rPr>
        <w:t xml:space="preserve"> si nécessaire en fonction de l’objectif, à certaines </w:t>
      </w:r>
      <w:r w:rsidR="006B629F" w:rsidRPr="00B2142C">
        <w:rPr>
          <w:rFonts w:ascii="Arial" w:hAnsi="Arial"/>
          <w:i/>
          <w:lang w:val="fr-FR"/>
        </w:rPr>
        <w:t>catégories</w:t>
      </w:r>
      <w:r w:rsidRPr="00B2142C">
        <w:rPr>
          <w:rFonts w:ascii="Arial" w:hAnsi="Arial"/>
          <w:i/>
          <w:lang w:val="fr-FR"/>
        </w:rPr>
        <w:t xml:space="preserve"> de produits.</w:t>
      </w:r>
      <w:r w:rsidRPr="00B2142C">
        <w:rPr>
          <w:rFonts w:ascii="Arial" w:hAnsi="Arial"/>
          <w:lang w:val="fr-FR"/>
        </w:rPr>
        <w:t xml:space="preserve"> » </w:t>
      </w:r>
      <w:r>
        <w:rPr>
          <w:rFonts w:ascii="Arial" w:hAnsi="Arial"/>
        </w:rPr>
        <w:t>[22]</w:t>
      </w:r>
    </w:p>
    <w:p w:rsidR="000956C8" w:rsidRDefault="000956C8" w:rsidP="00A80810">
      <w:pPr>
        <w:pStyle w:val="ListParagraph"/>
        <w:spacing w:after="0" w:line="240" w:lineRule="auto"/>
        <w:ind w:left="567" w:right="2244"/>
        <w:jc w:val="both"/>
        <w:rPr>
          <w:rFonts w:ascii="Arial" w:hAnsi="Arial" w:cs="Arial"/>
        </w:rPr>
      </w:pPr>
    </w:p>
    <w:sectPr w:rsidR="000956C8" w:rsidSect="00530F53">
      <w:endnotePr>
        <w:numFmt w:val="decimal"/>
      </w:endnotePr>
      <w:type w:val="continuous"/>
      <w:pgSz w:w="11906" w:h="16838"/>
      <w:pgMar w:top="720" w:right="720" w:bottom="720" w:left="720" w:header="708" w:footer="708" w:gutter="0"/>
      <w:cols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4C5" w:rsidRDefault="005E44C5" w:rsidP="003441FD">
      <w:pPr>
        <w:spacing w:after="0" w:line="240" w:lineRule="auto"/>
      </w:pPr>
      <w:r>
        <w:separator/>
      </w:r>
    </w:p>
  </w:endnote>
  <w:endnote w:type="continuationSeparator" w:id="0">
    <w:p w:rsidR="005E44C5" w:rsidRDefault="005E44C5" w:rsidP="003441FD">
      <w:pPr>
        <w:spacing w:after="0" w:line="240" w:lineRule="auto"/>
      </w:pPr>
      <w:r>
        <w:continuationSeparator/>
      </w:r>
    </w:p>
  </w:endnote>
  <w:endnote w:id="1">
    <w:p w:rsidR="001E676F" w:rsidRPr="0079461E" w:rsidRDefault="001E676F" w:rsidP="00530F53">
      <w:pPr>
        <w:pStyle w:val="EndnoteText"/>
        <w:ind w:right="2244"/>
        <w:rPr>
          <w:sz w:val="18"/>
          <w:szCs w:val="18"/>
        </w:rPr>
      </w:pPr>
      <w:r>
        <w:rPr>
          <w:rStyle w:val="EndnoteReference"/>
          <w:sz w:val="18"/>
          <w:szCs w:val="18"/>
        </w:rPr>
        <w:endnoteRef/>
      </w:r>
      <w:r>
        <w:rPr>
          <w:sz w:val="18"/>
          <w:szCs w:val="18"/>
        </w:rPr>
        <w:t xml:space="preserve"> </w:t>
      </w:r>
      <w:proofErr w:type="gramStart"/>
      <w:r>
        <w:rPr>
          <w:sz w:val="18"/>
          <w:szCs w:val="18"/>
        </w:rPr>
        <w:t xml:space="preserve">JT International SA </w:t>
      </w:r>
      <w:r>
        <w:rPr>
          <w:i/>
          <w:sz w:val="18"/>
          <w:szCs w:val="18"/>
        </w:rPr>
        <w:t>v.</w:t>
      </w:r>
      <w:proofErr w:type="gramEnd"/>
      <w:r>
        <w:rPr>
          <w:sz w:val="18"/>
          <w:szCs w:val="18"/>
        </w:rPr>
        <w:t xml:space="preserve"> The Commonwealth of Australia [2012] HCA 43, Haute </w:t>
      </w:r>
      <w:proofErr w:type="spellStart"/>
      <w:r>
        <w:rPr>
          <w:sz w:val="18"/>
          <w:szCs w:val="18"/>
        </w:rPr>
        <w:t>Cour</w:t>
      </w:r>
      <w:proofErr w:type="spellEnd"/>
      <w:r>
        <w:rPr>
          <w:sz w:val="18"/>
          <w:szCs w:val="18"/>
        </w:rPr>
        <w:t xml:space="preserve"> </w:t>
      </w:r>
      <w:proofErr w:type="spellStart"/>
      <w:r>
        <w:rPr>
          <w:sz w:val="18"/>
          <w:szCs w:val="18"/>
        </w:rPr>
        <w:t>d’Australie</w:t>
      </w:r>
      <w:proofErr w:type="spellEnd"/>
      <w:r>
        <w:rPr>
          <w:sz w:val="18"/>
          <w:szCs w:val="18"/>
        </w:rPr>
        <w:t xml:space="preserve">, </w:t>
      </w:r>
      <w:proofErr w:type="spellStart"/>
      <w:r>
        <w:rPr>
          <w:sz w:val="18"/>
          <w:szCs w:val="18"/>
        </w:rPr>
        <w:t>Décision</w:t>
      </w:r>
      <w:proofErr w:type="spellEnd"/>
      <w:r>
        <w:rPr>
          <w:sz w:val="18"/>
          <w:szCs w:val="18"/>
        </w:rPr>
        <w:t xml:space="preserve"> 15 </w:t>
      </w:r>
      <w:proofErr w:type="spellStart"/>
      <w:r>
        <w:rPr>
          <w:sz w:val="18"/>
          <w:szCs w:val="18"/>
        </w:rPr>
        <w:t>août</w:t>
      </w:r>
      <w:proofErr w:type="spellEnd"/>
      <w:r>
        <w:rPr>
          <w:sz w:val="18"/>
          <w:szCs w:val="18"/>
        </w:rPr>
        <w:t> 2012, Conclusions 5 </w:t>
      </w:r>
      <w:proofErr w:type="spellStart"/>
      <w:r>
        <w:rPr>
          <w:sz w:val="18"/>
          <w:szCs w:val="18"/>
        </w:rPr>
        <w:t>octobre</w:t>
      </w:r>
      <w:proofErr w:type="spellEnd"/>
      <w:r>
        <w:rPr>
          <w:sz w:val="18"/>
          <w:szCs w:val="18"/>
        </w:rPr>
        <w:t> 2012.</w:t>
      </w:r>
    </w:p>
  </w:endnote>
  <w:endnote w:id="2">
    <w:p w:rsidR="001E676F" w:rsidRPr="0079461E" w:rsidRDefault="001E676F" w:rsidP="00530F53">
      <w:pPr>
        <w:pStyle w:val="EndnoteText"/>
        <w:ind w:right="2244"/>
        <w:rPr>
          <w:sz w:val="18"/>
          <w:szCs w:val="18"/>
        </w:rPr>
      </w:pPr>
      <w:r>
        <w:rPr>
          <w:rStyle w:val="EndnoteReference"/>
          <w:sz w:val="18"/>
          <w:szCs w:val="18"/>
        </w:rPr>
        <w:endnoteRef/>
      </w:r>
      <w:r>
        <w:rPr>
          <w:sz w:val="18"/>
          <w:szCs w:val="18"/>
        </w:rPr>
        <w:t xml:space="preserve"> </w:t>
      </w:r>
      <w:proofErr w:type="gramStart"/>
      <w:r>
        <w:rPr>
          <w:sz w:val="18"/>
          <w:szCs w:val="18"/>
        </w:rPr>
        <w:t xml:space="preserve">Philip Morris Asia Limited </w:t>
      </w:r>
      <w:r>
        <w:rPr>
          <w:i/>
          <w:sz w:val="18"/>
          <w:szCs w:val="18"/>
        </w:rPr>
        <w:t>v.</w:t>
      </w:r>
      <w:proofErr w:type="gramEnd"/>
      <w:r>
        <w:rPr>
          <w:sz w:val="18"/>
          <w:szCs w:val="18"/>
        </w:rPr>
        <w:t xml:space="preserve"> </w:t>
      </w:r>
      <w:proofErr w:type="gramStart"/>
      <w:r>
        <w:rPr>
          <w:sz w:val="18"/>
          <w:szCs w:val="18"/>
        </w:rPr>
        <w:t>The Commonwealth of Australia.</w:t>
      </w:r>
      <w:proofErr w:type="gramEnd"/>
      <w:r>
        <w:rPr>
          <w:sz w:val="18"/>
          <w:szCs w:val="18"/>
        </w:rPr>
        <w:t xml:space="preserve"> </w:t>
      </w:r>
      <w:proofErr w:type="gramStart"/>
      <w:r>
        <w:rPr>
          <w:sz w:val="18"/>
          <w:szCs w:val="18"/>
        </w:rPr>
        <w:t>PCA Affaire n° 2012-12.</w:t>
      </w:r>
      <w:proofErr w:type="gramEnd"/>
    </w:p>
  </w:endnote>
  <w:endnote w:id="3">
    <w:p w:rsidR="001E676F" w:rsidRPr="0079461E" w:rsidRDefault="001E676F" w:rsidP="00530F53">
      <w:pPr>
        <w:pStyle w:val="EndnoteText"/>
        <w:ind w:right="2244"/>
        <w:rPr>
          <w:sz w:val="18"/>
          <w:szCs w:val="18"/>
        </w:rPr>
      </w:pPr>
      <w:r>
        <w:rPr>
          <w:rStyle w:val="EndnoteReference"/>
          <w:sz w:val="18"/>
          <w:szCs w:val="18"/>
        </w:rPr>
        <w:endnoteRef/>
      </w:r>
      <w:r>
        <w:rPr>
          <w:sz w:val="18"/>
          <w:szCs w:val="18"/>
        </w:rPr>
        <w:t xml:space="preserve"> </w:t>
      </w:r>
      <w:proofErr w:type="gramStart"/>
      <w:r>
        <w:rPr>
          <w:sz w:val="18"/>
          <w:szCs w:val="18"/>
        </w:rPr>
        <w:t xml:space="preserve">R (British American Tobacco &amp; </w:t>
      </w:r>
      <w:proofErr w:type="spellStart"/>
      <w:r>
        <w:rPr>
          <w:sz w:val="18"/>
          <w:szCs w:val="18"/>
        </w:rPr>
        <w:t>Ors</w:t>
      </w:r>
      <w:proofErr w:type="spellEnd"/>
      <w:r>
        <w:rPr>
          <w:sz w:val="18"/>
          <w:szCs w:val="18"/>
        </w:rPr>
        <w:t xml:space="preserve">) </w:t>
      </w:r>
      <w:r>
        <w:rPr>
          <w:i/>
          <w:sz w:val="18"/>
          <w:szCs w:val="18"/>
        </w:rPr>
        <w:t xml:space="preserve">v. </w:t>
      </w:r>
      <w:r>
        <w:rPr>
          <w:sz w:val="18"/>
          <w:szCs w:val="18"/>
        </w:rPr>
        <w:t>Secretary of State for Health [2016] EWHC 1169 (Admin).</w:t>
      </w:r>
      <w:proofErr w:type="gramEnd"/>
    </w:p>
  </w:endnote>
  <w:endnote w:id="4">
    <w:p w:rsidR="001E676F" w:rsidRPr="00B2142C" w:rsidRDefault="001E676F" w:rsidP="00530F53">
      <w:pPr>
        <w:pStyle w:val="EndnoteText"/>
        <w:ind w:right="2244"/>
        <w:rPr>
          <w:sz w:val="18"/>
          <w:szCs w:val="18"/>
          <w:lang w:val="fr-FR"/>
        </w:rPr>
      </w:pPr>
      <w:r>
        <w:rPr>
          <w:rStyle w:val="EndnoteReference"/>
          <w:sz w:val="18"/>
          <w:szCs w:val="18"/>
        </w:rPr>
        <w:endnoteRef/>
      </w:r>
      <w:r w:rsidRPr="00B2142C">
        <w:rPr>
          <w:sz w:val="18"/>
          <w:szCs w:val="18"/>
          <w:lang w:val="fr-FR"/>
        </w:rPr>
        <w:t xml:space="preserve"> Le Conseil Constitutionnel Décision n° 2015-727 DC.</w:t>
      </w:r>
    </w:p>
  </w:endnote>
  <w:endnote w:id="5">
    <w:p w:rsidR="001E676F" w:rsidRPr="00B2142C" w:rsidRDefault="001E676F" w:rsidP="00530F53">
      <w:pPr>
        <w:pStyle w:val="EndnoteText"/>
        <w:ind w:right="2244"/>
        <w:rPr>
          <w:sz w:val="18"/>
          <w:szCs w:val="18"/>
          <w:lang w:val="fr-FR"/>
        </w:rPr>
      </w:pPr>
      <w:r>
        <w:rPr>
          <w:rStyle w:val="EndnoteReference"/>
          <w:sz w:val="18"/>
          <w:szCs w:val="18"/>
        </w:rPr>
        <w:endnoteRef/>
      </w:r>
      <w:r w:rsidRPr="00B2142C">
        <w:rPr>
          <w:sz w:val="18"/>
          <w:szCs w:val="18"/>
          <w:lang w:val="fr-FR"/>
        </w:rPr>
        <w:t xml:space="preserve"> CE, 23 décembre, société JT International SA, Société d'exploitation industrielle des tabacs et des allumettes, société Philip Morris France SA et autres.</w:t>
      </w:r>
    </w:p>
  </w:endnote>
  <w:endnote w:id="6">
    <w:p w:rsidR="001E676F" w:rsidRPr="0079461E" w:rsidRDefault="001E676F" w:rsidP="00530F53">
      <w:pPr>
        <w:pStyle w:val="EndnoteText"/>
        <w:ind w:right="2244"/>
        <w:rPr>
          <w:sz w:val="18"/>
          <w:szCs w:val="18"/>
        </w:rPr>
      </w:pPr>
      <w:r>
        <w:rPr>
          <w:rStyle w:val="EndnoteReference"/>
          <w:sz w:val="18"/>
          <w:szCs w:val="18"/>
        </w:rPr>
        <w:endnoteRef/>
      </w:r>
      <w:r>
        <w:rPr>
          <w:sz w:val="18"/>
          <w:szCs w:val="18"/>
        </w:rPr>
        <w:t xml:space="preserve"> </w:t>
      </w:r>
      <w:proofErr w:type="gramStart"/>
      <w:r>
        <w:rPr>
          <w:sz w:val="18"/>
          <w:szCs w:val="18"/>
        </w:rPr>
        <w:t xml:space="preserve">JTI </w:t>
      </w:r>
      <w:r>
        <w:rPr>
          <w:i/>
          <w:sz w:val="18"/>
          <w:szCs w:val="18"/>
        </w:rPr>
        <w:t>v.</w:t>
      </w:r>
      <w:r>
        <w:rPr>
          <w:sz w:val="18"/>
          <w:szCs w:val="18"/>
        </w:rPr>
        <w:t xml:space="preserve"> Minister for Health, Ireland and the Attorney General n° 2015/</w:t>
      </w:r>
      <w:proofErr w:type="spellStart"/>
      <w:r>
        <w:rPr>
          <w:sz w:val="18"/>
          <w:szCs w:val="18"/>
        </w:rPr>
        <w:t>2530P</w:t>
      </w:r>
      <w:proofErr w:type="spellEnd"/>
      <w:r>
        <w:rPr>
          <w:sz w:val="18"/>
          <w:szCs w:val="18"/>
        </w:rPr>
        <w:t>.</w:t>
      </w:r>
      <w:proofErr w:type="gramEnd"/>
    </w:p>
  </w:endnote>
  <w:endnote w:id="7">
    <w:p w:rsidR="001E676F" w:rsidRPr="0079461E" w:rsidRDefault="001E676F" w:rsidP="00530F53">
      <w:pPr>
        <w:pStyle w:val="EndnoteText"/>
        <w:ind w:right="2244"/>
        <w:rPr>
          <w:sz w:val="18"/>
          <w:szCs w:val="18"/>
        </w:rPr>
      </w:pPr>
      <w:r>
        <w:rPr>
          <w:rStyle w:val="EndnoteReference"/>
          <w:sz w:val="18"/>
          <w:szCs w:val="18"/>
        </w:rPr>
        <w:endnoteRef/>
      </w:r>
      <w:r>
        <w:rPr>
          <w:sz w:val="18"/>
          <w:szCs w:val="18"/>
        </w:rPr>
        <w:t xml:space="preserve"> </w:t>
      </w:r>
      <w:proofErr w:type="gramStart"/>
      <w:r>
        <w:rPr>
          <w:sz w:val="18"/>
          <w:szCs w:val="18"/>
        </w:rPr>
        <w:t xml:space="preserve">Philip Morris Brands SARL </w:t>
      </w:r>
      <w:proofErr w:type="spellStart"/>
      <w:r>
        <w:rPr>
          <w:sz w:val="18"/>
          <w:szCs w:val="18"/>
        </w:rPr>
        <w:t>e.a</w:t>
      </w:r>
      <w:proofErr w:type="spellEnd"/>
      <w:r>
        <w:rPr>
          <w:sz w:val="18"/>
          <w:szCs w:val="18"/>
        </w:rPr>
        <w:t xml:space="preserve">. </w:t>
      </w:r>
      <w:proofErr w:type="spellStart"/>
      <w:r>
        <w:rPr>
          <w:sz w:val="18"/>
          <w:szCs w:val="18"/>
        </w:rPr>
        <w:t>contre</w:t>
      </w:r>
      <w:proofErr w:type="spellEnd"/>
      <w:r>
        <w:rPr>
          <w:i/>
          <w:sz w:val="18"/>
          <w:szCs w:val="18"/>
        </w:rPr>
        <w:t xml:space="preserve"> </w:t>
      </w:r>
      <w:r>
        <w:rPr>
          <w:sz w:val="18"/>
          <w:szCs w:val="18"/>
        </w:rPr>
        <w:t>Secretary of State for Health C-547/14.</w:t>
      </w:r>
      <w:proofErr w:type="gramEnd"/>
    </w:p>
  </w:endnote>
  <w:endnote w:id="8">
    <w:p w:rsidR="0079461E" w:rsidRPr="00B2142C" w:rsidRDefault="0079461E">
      <w:pPr>
        <w:pStyle w:val="EndnoteText"/>
        <w:rPr>
          <w:sz w:val="18"/>
          <w:szCs w:val="18"/>
          <w:lang w:val="fr-FR"/>
        </w:rPr>
      </w:pPr>
      <w:r>
        <w:rPr>
          <w:rStyle w:val="EndnoteReference"/>
          <w:sz w:val="18"/>
          <w:szCs w:val="18"/>
        </w:rPr>
        <w:endnoteRef/>
      </w:r>
      <w:r>
        <w:rPr>
          <w:sz w:val="18"/>
          <w:szCs w:val="18"/>
        </w:rPr>
        <w:t xml:space="preserve"> </w:t>
      </w:r>
      <w:proofErr w:type="gramStart"/>
      <w:r>
        <w:rPr>
          <w:sz w:val="18"/>
          <w:szCs w:val="18"/>
        </w:rPr>
        <w:t xml:space="preserve">Swedish Match </w:t>
      </w:r>
      <w:r>
        <w:rPr>
          <w:i/>
          <w:sz w:val="18"/>
          <w:szCs w:val="18"/>
        </w:rPr>
        <w:t>v.</w:t>
      </w:r>
      <w:proofErr w:type="gramEnd"/>
      <w:r>
        <w:rPr>
          <w:i/>
          <w:sz w:val="18"/>
          <w:szCs w:val="18"/>
        </w:rPr>
        <w:t xml:space="preserve"> </w:t>
      </w:r>
      <w:proofErr w:type="gramStart"/>
      <w:r>
        <w:rPr>
          <w:sz w:val="18"/>
          <w:szCs w:val="18"/>
        </w:rPr>
        <w:t>The Ministry of Health and Care Services.</w:t>
      </w:r>
      <w:proofErr w:type="gramEnd"/>
      <w:r>
        <w:rPr>
          <w:sz w:val="18"/>
          <w:szCs w:val="18"/>
        </w:rPr>
        <w:t xml:space="preserve"> </w:t>
      </w:r>
      <w:r w:rsidRPr="00B2142C">
        <w:rPr>
          <w:sz w:val="18"/>
          <w:szCs w:val="18"/>
          <w:lang w:val="fr-FR"/>
        </w:rPr>
        <w:t xml:space="preserve">Tribunal de commerce Affaire n° 17-110415TV-OBYF. </w:t>
      </w:r>
    </w:p>
  </w:endnote>
  <w:endnote w:id="9">
    <w:p w:rsidR="001E676F" w:rsidRPr="00B2142C" w:rsidRDefault="001E676F" w:rsidP="00530F53">
      <w:pPr>
        <w:pStyle w:val="EndnoteText"/>
        <w:ind w:right="2244"/>
        <w:rPr>
          <w:sz w:val="18"/>
          <w:szCs w:val="18"/>
          <w:lang w:val="fr-FR"/>
        </w:rPr>
      </w:pPr>
      <w:r>
        <w:rPr>
          <w:rStyle w:val="EndnoteReference"/>
          <w:sz w:val="18"/>
          <w:szCs w:val="18"/>
        </w:rPr>
        <w:endnoteRef/>
      </w:r>
      <w:r w:rsidRPr="00B2142C">
        <w:rPr>
          <w:sz w:val="18"/>
          <w:szCs w:val="18"/>
          <w:lang w:val="fr-FR"/>
        </w:rPr>
        <w:t xml:space="preserve"> Toutes les explications et l’histoire des documents divulgués relatifs au conditionnement neutre sont produites par </w:t>
      </w:r>
      <w:proofErr w:type="spellStart"/>
      <w:r w:rsidRPr="00B2142C">
        <w:rPr>
          <w:sz w:val="18"/>
          <w:szCs w:val="18"/>
          <w:lang w:val="fr-FR"/>
        </w:rPr>
        <w:t>Smoke</w:t>
      </w:r>
      <w:proofErr w:type="spellEnd"/>
      <w:r w:rsidRPr="00B2142C">
        <w:rPr>
          <w:sz w:val="18"/>
          <w:szCs w:val="18"/>
          <w:lang w:val="fr-FR"/>
        </w:rPr>
        <w:t xml:space="preserve">-Free Canada et disponibles à l’adresse suivante : </w:t>
      </w:r>
      <w:hyperlink r:id="rId1" w:history="1">
        <w:r w:rsidRPr="00B2142C">
          <w:rPr>
            <w:rStyle w:val="Hyperlink"/>
            <w:sz w:val="18"/>
            <w:szCs w:val="18"/>
            <w:lang w:val="fr-FR"/>
          </w:rPr>
          <w:t>http://www.smoke-free.ca/pdf_1/plotagainstplainpackaging-apr1'.pdf</w:t>
        </w:r>
      </w:hyperlink>
      <w:r w:rsidRPr="00B2142C">
        <w:rPr>
          <w:rStyle w:val="Hyperlink"/>
          <w:sz w:val="18"/>
          <w:szCs w:val="18"/>
          <w:lang w:val="fr-FR"/>
        </w:rPr>
        <w:t>.</w:t>
      </w:r>
      <w:r w:rsidRPr="00B2142C">
        <w:rPr>
          <w:sz w:val="18"/>
          <w:szCs w:val="18"/>
          <w:lang w:val="fr-FR"/>
        </w:rPr>
        <w:t xml:space="preserve"> </w:t>
      </w:r>
    </w:p>
  </w:endnote>
  <w:endnote w:id="10">
    <w:p w:rsidR="001E676F" w:rsidRPr="00B2142C" w:rsidRDefault="001E676F" w:rsidP="00530F53">
      <w:pPr>
        <w:pStyle w:val="EndnoteText"/>
        <w:ind w:right="2244"/>
        <w:rPr>
          <w:sz w:val="18"/>
          <w:szCs w:val="18"/>
          <w:lang w:val="fr-FR"/>
        </w:rPr>
      </w:pPr>
      <w:r>
        <w:rPr>
          <w:rStyle w:val="EndnoteReference"/>
          <w:sz w:val="18"/>
          <w:szCs w:val="18"/>
        </w:rPr>
        <w:endnoteRef/>
      </w:r>
      <w:r w:rsidRPr="00B2142C">
        <w:rPr>
          <w:sz w:val="18"/>
          <w:szCs w:val="18"/>
          <w:lang w:val="fr-FR"/>
        </w:rPr>
        <w:t xml:space="preserve"> Publication dans </w:t>
      </w:r>
      <w:r w:rsidRPr="00B2142C">
        <w:rPr>
          <w:i/>
          <w:sz w:val="18"/>
          <w:szCs w:val="18"/>
          <w:lang w:val="fr-FR"/>
        </w:rPr>
        <w:t>Tobacco Control</w:t>
      </w:r>
      <w:r w:rsidRPr="00B2142C">
        <w:rPr>
          <w:sz w:val="18"/>
          <w:szCs w:val="18"/>
          <w:lang w:val="fr-FR"/>
        </w:rPr>
        <w:t xml:space="preserve"> et la Convention de Paris pour la protection de la propriété industrielle. Tobacco Control 1996; 5: 165 </w:t>
      </w:r>
      <w:proofErr w:type="spellStart"/>
      <w:r w:rsidRPr="00B2142C">
        <w:rPr>
          <w:sz w:val="18"/>
          <w:szCs w:val="18"/>
          <w:lang w:val="fr-FR"/>
        </w:rPr>
        <w:t>Collishaw</w:t>
      </w:r>
      <w:proofErr w:type="spellEnd"/>
      <w:r w:rsidRPr="00B2142C">
        <w:rPr>
          <w:sz w:val="18"/>
          <w:szCs w:val="18"/>
          <w:lang w:val="fr-FR"/>
        </w:rPr>
        <w:t xml:space="preserve"> NE.</w:t>
      </w:r>
    </w:p>
  </w:endnote>
  <w:endnote w:id="11">
    <w:p w:rsidR="001E676F" w:rsidRPr="00B2142C" w:rsidRDefault="001E676F" w:rsidP="00530F53">
      <w:pPr>
        <w:pStyle w:val="EndnoteText"/>
        <w:ind w:right="2244"/>
        <w:rPr>
          <w:color w:val="0563C1" w:themeColor="hyperlink"/>
          <w:u w:val="single"/>
          <w:lang w:val="fr-FR"/>
        </w:rPr>
      </w:pPr>
      <w:r>
        <w:rPr>
          <w:rStyle w:val="EndnoteReference"/>
          <w:sz w:val="18"/>
          <w:szCs w:val="18"/>
        </w:rPr>
        <w:endnoteRef/>
      </w:r>
      <w:r w:rsidRPr="00B2142C">
        <w:rPr>
          <w:sz w:val="18"/>
          <w:szCs w:val="18"/>
          <w:lang w:val="fr-FR"/>
        </w:rPr>
        <w:t xml:space="preserve"> </w:t>
      </w:r>
      <w:r w:rsidRPr="00B2142C">
        <w:rPr>
          <w:lang w:val="fr-FR"/>
        </w:rPr>
        <w:t>Numéros de litige OMC</w:t>
      </w:r>
      <w:r w:rsidRPr="00B2142C">
        <w:rPr>
          <w:sz w:val="18"/>
          <w:szCs w:val="18"/>
          <w:lang w:val="fr-FR"/>
        </w:rPr>
        <w:t xml:space="preserve"> </w:t>
      </w:r>
      <w:hyperlink r:id="rId2" w:history="1">
        <w:r w:rsidRPr="00B2142C">
          <w:rPr>
            <w:rStyle w:val="Hyperlink"/>
            <w:sz w:val="18"/>
            <w:szCs w:val="18"/>
            <w:lang w:val="fr-FR"/>
          </w:rPr>
          <w:t>DS435</w:t>
        </w:r>
      </w:hyperlink>
      <w:r w:rsidRPr="00B2142C">
        <w:rPr>
          <w:sz w:val="18"/>
          <w:szCs w:val="18"/>
          <w:lang w:val="fr-FR"/>
        </w:rPr>
        <w:t xml:space="preserve">, </w:t>
      </w:r>
      <w:hyperlink r:id="rId3" w:history="1">
        <w:r w:rsidRPr="00B2142C">
          <w:rPr>
            <w:rStyle w:val="Hyperlink"/>
            <w:sz w:val="18"/>
            <w:szCs w:val="18"/>
            <w:lang w:val="fr-FR"/>
          </w:rPr>
          <w:t>DS441</w:t>
        </w:r>
      </w:hyperlink>
      <w:r w:rsidRPr="00B2142C">
        <w:rPr>
          <w:sz w:val="18"/>
          <w:szCs w:val="18"/>
          <w:lang w:val="fr-FR"/>
        </w:rPr>
        <w:t xml:space="preserve">, </w:t>
      </w:r>
      <w:hyperlink r:id="rId4" w:history="1">
        <w:r w:rsidRPr="00B2142C">
          <w:rPr>
            <w:rStyle w:val="Hyperlink"/>
            <w:sz w:val="18"/>
            <w:szCs w:val="18"/>
            <w:lang w:val="fr-FR"/>
          </w:rPr>
          <w:t>DS458</w:t>
        </w:r>
      </w:hyperlink>
      <w:r w:rsidRPr="00B2142C">
        <w:rPr>
          <w:rStyle w:val="Hyperlink"/>
          <w:sz w:val="18"/>
          <w:szCs w:val="18"/>
          <w:lang w:val="fr-FR"/>
        </w:rPr>
        <w:t>,</w:t>
      </w:r>
      <w:r w:rsidRPr="00B2142C">
        <w:rPr>
          <w:sz w:val="18"/>
          <w:szCs w:val="18"/>
          <w:lang w:val="fr-FR"/>
        </w:rPr>
        <w:t xml:space="preserve"> et </w:t>
      </w:r>
      <w:hyperlink r:id="rId5" w:history="1">
        <w:r w:rsidRPr="00B2142C">
          <w:rPr>
            <w:rStyle w:val="Hyperlink"/>
            <w:sz w:val="18"/>
            <w:szCs w:val="18"/>
            <w:lang w:val="fr-FR"/>
          </w:rPr>
          <w:t>DS467</w:t>
        </w:r>
      </w:hyperlink>
      <w:r w:rsidRPr="00B2142C">
        <w:rPr>
          <w:rStyle w:val="Hyperlink"/>
          <w:sz w:val="18"/>
          <w:szCs w:val="18"/>
          <w:lang w:val="fr-F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4F" w:rsidRPr="00B2142C" w:rsidRDefault="00F608C9" w:rsidP="00F608C9">
    <w:pPr>
      <w:pStyle w:val="Footer"/>
      <w:jc w:val="right"/>
      <w:rPr>
        <w:color w:val="1F4E79" w:themeColor="accent1" w:themeShade="80"/>
        <w:lang w:val="fr-FR"/>
      </w:rPr>
    </w:pPr>
    <w:r w:rsidRPr="00B2142C">
      <w:rPr>
        <w:color w:val="1F4E79" w:themeColor="accent1" w:themeShade="80"/>
        <w:lang w:val="fr-FR"/>
      </w:rPr>
      <w:t>Document d’information s</w:t>
    </w:r>
    <w:r w:rsidR="00C82A8F" w:rsidRPr="00B2142C">
      <w:rPr>
        <w:color w:val="1F4E79" w:themeColor="accent1" w:themeShade="80"/>
        <w:lang w:val="fr-FR"/>
      </w:rPr>
      <w:t>ur le CONDITIONNEMENT NEUTRE : e</w:t>
    </w:r>
    <w:r w:rsidRPr="00B2142C">
      <w:rPr>
        <w:color w:val="1F4E79" w:themeColor="accent1" w:themeShade="80"/>
        <w:lang w:val="fr-FR"/>
      </w:rPr>
      <w:t xml:space="preserve">st-ce légal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4C5" w:rsidRDefault="005E44C5" w:rsidP="003441FD">
      <w:pPr>
        <w:spacing w:after="0" w:line="240" w:lineRule="auto"/>
      </w:pPr>
      <w:r>
        <w:separator/>
      </w:r>
    </w:p>
  </w:footnote>
  <w:footnote w:type="continuationSeparator" w:id="0">
    <w:p w:rsidR="005E44C5" w:rsidRDefault="005E44C5" w:rsidP="00344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14D5D"/>
    <w:multiLevelType w:val="hybridMultilevel"/>
    <w:tmpl w:val="3864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F0617"/>
    <w:multiLevelType w:val="hybridMultilevel"/>
    <w:tmpl w:val="C4EC1A9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nsid w:val="4B6D53A7"/>
    <w:multiLevelType w:val="hybridMultilevel"/>
    <w:tmpl w:val="E4AE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F466E"/>
    <w:multiLevelType w:val="hybridMultilevel"/>
    <w:tmpl w:val="2B584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5AD0910"/>
    <w:multiLevelType w:val="hybridMultilevel"/>
    <w:tmpl w:val="A5E49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47599E"/>
    <w:multiLevelType w:val="hybridMultilevel"/>
    <w:tmpl w:val="BA5CE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CE84C47"/>
    <w:multiLevelType w:val="hybridMultilevel"/>
    <w:tmpl w:val="00E4853C"/>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1C6CCC"/>
    <w:multiLevelType w:val="hybridMultilevel"/>
    <w:tmpl w:val="4838E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hyphenationZone w:val="425"/>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FD"/>
    <w:rsid w:val="00000F47"/>
    <w:rsid w:val="000956C8"/>
    <w:rsid w:val="0013425C"/>
    <w:rsid w:val="001E31CB"/>
    <w:rsid w:val="001E676F"/>
    <w:rsid w:val="003441FD"/>
    <w:rsid w:val="003944EC"/>
    <w:rsid w:val="003A149A"/>
    <w:rsid w:val="003B060C"/>
    <w:rsid w:val="003E7DE7"/>
    <w:rsid w:val="00417000"/>
    <w:rsid w:val="004659CC"/>
    <w:rsid w:val="00487345"/>
    <w:rsid w:val="004B2BFE"/>
    <w:rsid w:val="004C4323"/>
    <w:rsid w:val="00530F53"/>
    <w:rsid w:val="0056635B"/>
    <w:rsid w:val="00566D44"/>
    <w:rsid w:val="005E44C5"/>
    <w:rsid w:val="00622481"/>
    <w:rsid w:val="00692C1C"/>
    <w:rsid w:val="006A3878"/>
    <w:rsid w:val="006B629F"/>
    <w:rsid w:val="006B6527"/>
    <w:rsid w:val="00722243"/>
    <w:rsid w:val="00734AAD"/>
    <w:rsid w:val="00770345"/>
    <w:rsid w:val="007943C4"/>
    <w:rsid w:val="0079461E"/>
    <w:rsid w:val="00847DC6"/>
    <w:rsid w:val="00874C4F"/>
    <w:rsid w:val="008D0373"/>
    <w:rsid w:val="00A80810"/>
    <w:rsid w:val="00AE7FB0"/>
    <w:rsid w:val="00B140FD"/>
    <w:rsid w:val="00B2142C"/>
    <w:rsid w:val="00C026C7"/>
    <w:rsid w:val="00C144F6"/>
    <w:rsid w:val="00C20D3F"/>
    <w:rsid w:val="00C4451C"/>
    <w:rsid w:val="00C5126A"/>
    <w:rsid w:val="00C76909"/>
    <w:rsid w:val="00C82A8F"/>
    <w:rsid w:val="00C91605"/>
    <w:rsid w:val="00CA6245"/>
    <w:rsid w:val="00D1391C"/>
    <w:rsid w:val="00E35486"/>
    <w:rsid w:val="00E565D0"/>
    <w:rsid w:val="00E82A6F"/>
    <w:rsid w:val="00F13DAB"/>
    <w:rsid w:val="00F608C9"/>
    <w:rsid w:val="00F75D7D"/>
    <w:rsid w:val="00F82FF4"/>
    <w:rsid w:val="00FC1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1FD"/>
    <w:pPr>
      <w:ind w:left="720"/>
      <w:contextualSpacing/>
    </w:pPr>
  </w:style>
  <w:style w:type="paragraph" w:styleId="EndnoteText">
    <w:name w:val="endnote text"/>
    <w:basedOn w:val="Normal"/>
    <w:link w:val="EndnoteTextChar"/>
    <w:uiPriority w:val="99"/>
    <w:semiHidden/>
    <w:unhideWhenUsed/>
    <w:rsid w:val="003441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41FD"/>
    <w:rPr>
      <w:sz w:val="20"/>
      <w:szCs w:val="20"/>
    </w:rPr>
  </w:style>
  <w:style w:type="character" w:styleId="EndnoteReference">
    <w:name w:val="endnote reference"/>
    <w:basedOn w:val="DefaultParagraphFont"/>
    <w:uiPriority w:val="99"/>
    <w:unhideWhenUsed/>
    <w:rsid w:val="003441FD"/>
    <w:rPr>
      <w:vertAlign w:val="superscript"/>
    </w:rPr>
  </w:style>
  <w:style w:type="character" w:styleId="Hyperlink">
    <w:name w:val="Hyperlink"/>
    <w:basedOn w:val="DefaultParagraphFont"/>
    <w:uiPriority w:val="99"/>
    <w:unhideWhenUsed/>
    <w:rsid w:val="003441FD"/>
    <w:rPr>
      <w:color w:val="0563C1" w:themeColor="hyperlink"/>
      <w:u w:val="single"/>
    </w:rPr>
  </w:style>
  <w:style w:type="paragraph" w:styleId="BalloonText">
    <w:name w:val="Balloon Text"/>
    <w:basedOn w:val="Normal"/>
    <w:link w:val="BalloonTextChar"/>
    <w:uiPriority w:val="99"/>
    <w:semiHidden/>
    <w:unhideWhenUsed/>
    <w:rsid w:val="00C026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6C7"/>
    <w:rPr>
      <w:rFonts w:ascii="Lucida Grande" w:hAnsi="Lucida Grande" w:cs="Lucida Grande"/>
      <w:sz w:val="18"/>
      <w:szCs w:val="18"/>
    </w:rPr>
  </w:style>
  <w:style w:type="paragraph" w:styleId="Header">
    <w:name w:val="header"/>
    <w:basedOn w:val="Normal"/>
    <w:link w:val="HeaderChar"/>
    <w:uiPriority w:val="99"/>
    <w:unhideWhenUsed/>
    <w:rsid w:val="00874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C4F"/>
  </w:style>
  <w:style w:type="paragraph" w:styleId="Footer">
    <w:name w:val="footer"/>
    <w:basedOn w:val="Normal"/>
    <w:link w:val="FooterChar"/>
    <w:uiPriority w:val="99"/>
    <w:unhideWhenUsed/>
    <w:rsid w:val="00874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1FD"/>
    <w:pPr>
      <w:ind w:left="720"/>
      <w:contextualSpacing/>
    </w:pPr>
  </w:style>
  <w:style w:type="paragraph" w:styleId="EndnoteText">
    <w:name w:val="endnote text"/>
    <w:basedOn w:val="Normal"/>
    <w:link w:val="EndnoteTextChar"/>
    <w:uiPriority w:val="99"/>
    <w:semiHidden/>
    <w:unhideWhenUsed/>
    <w:rsid w:val="003441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41FD"/>
    <w:rPr>
      <w:sz w:val="20"/>
      <w:szCs w:val="20"/>
    </w:rPr>
  </w:style>
  <w:style w:type="character" w:styleId="EndnoteReference">
    <w:name w:val="endnote reference"/>
    <w:basedOn w:val="DefaultParagraphFont"/>
    <w:uiPriority w:val="99"/>
    <w:unhideWhenUsed/>
    <w:rsid w:val="003441FD"/>
    <w:rPr>
      <w:vertAlign w:val="superscript"/>
    </w:rPr>
  </w:style>
  <w:style w:type="character" w:styleId="Hyperlink">
    <w:name w:val="Hyperlink"/>
    <w:basedOn w:val="DefaultParagraphFont"/>
    <w:uiPriority w:val="99"/>
    <w:unhideWhenUsed/>
    <w:rsid w:val="003441FD"/>
    <w:rPr>
      <w:color w:val="0563C1" w:themeColor="hyperlink"/>
      <w:u w:val="single"/>
    </w:rPr>
  </w:style>
  <w:style w:type="paragraph" w:styleId="BalloonText">
    <w:name w:val="Balloon Text"/>
    <w:basedOn w:val="Normal"/>
    <w:link w:val="BalloonTextChar"/>
    <w:uiPriority w:val="99"/>
    <w:semiHidden/>
    <w:unhideWhenUsed/>
    <w:rsid w:val="00C026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6C7"/>
    <w:rPr>
      <w:rFonts w:ascii="Lucida Grande" w:hAnsi="Lucida Grande" w:cs="Lucida Grande"/>
      <w:sz w:val="18"/>
      <w:szCs w:val="18"/>
    </w:rPr>
  </w:style>
  <w:style w:type="paragraph" w:styleId="Header">
    <w:name w:val="header"/>
    <w:basedOn w:val="Normal"/>
    <w:link w:val="HeaderChar"/>
    <w:uiPriority w:val="99"/>
    <w:unhideWhenUsed/>
    <w:rsid w:val="00874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C4F"/>
  </w:style>
  <w:style w:type="paragraph" w:styleId="Footer">
    <w:name w:val="footer"/>
    <w:basedOn w:val="Normal"/>
    <w:link w:val="FooterChar"/>
    <w:uiPriority w:val="99"/>
    <w:unhideWhenUsed/>
    <w:rsid w:val="00874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wto.org/french/tratop_e/dispu_e/cases_e/ds441_f.htm" TargetMode="External"/><Relationship Id="rId2" Type="http://schemas.openxmlformats.org/officeDocument/2006/relationships/hyperlink" Target="https://www.wto.org/french/tratop_f/dispu_f/cases_f/ds435_f.htm" TargetMode="External"/><Relationship Id="rId1" Type="http://schemas.openxmlformats.org/officeDocument/2006/relationships/hyperlink" Target="http://www.smoke-free.ca/pdf_1/plotagainstplainpackaging-apr1'.pdf" TargetMode="External"/><Relationship Id="rId5" Type="http://schemas.openxmlformats.org/officeDocument/2006/relationships/hyperlink" Target="https://www.wto.org/french/tratop_e/dispu_e/cases_e/ds467_f.htm" TargetMode="External"/><Relationship Id="rId4" Type="http://schemas.openxmlformats.org/officeDocument/2006/relationships/hyperlink" Target="https://www.wto.org/french/tratop_e/dispu_e/cases_e/ds458_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056E-A4BF-4D07-94C1-F7538218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7235</Characters>
  <Application>Microsoft Office Word</Application>
  <DocSecurity>0</DocSecurity>
  <Lines>153</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2017-11-17T19:28:00Z</dcterms:created>
  <dcterms:modified xsi:type="dcterms:W3CDTF">2017-11-30T18:20:00Z</dcterms:modified>
</cp:coreProperties>
</file>