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678ED" w14:textId="1796EAA3" w:rsidR="00F608C9" w:rsidRPr="00043797" w:rsidRDefault="00043797" w:rsidP="003A5762">
      <w:pPr>
        <w:spacing w:after="0"/>
        <w:outlineLvl w:val="0"/>
        <w:rPr>
          <w:rFonts w:ascii="Arial" w:hAnsi="Arial" w:cs="Arial"/>
          <w:sz w:val="44"/>
          <w:szCs w:val="44"/>
          <w:lang w:val="es-ES_tradnl"/>
        </w:rPr>
      </w:pPr>
      <w:r w:rsidRPr="00043797">
        <w:rPr>
          <w:rFonts w:ascii="Arial" w:hAnsi="Arial" w:cs="Arial"/>
          <w:sz w:val="44"/>
          <w:szCs w:val="44"/>
          <w:lang w:val="es-ES_tradnl"/>
        </w:rPr>
        <w:t>Resumen de Política</w:t>
      </w:r>
      <w:r w:rsidR="00D1391C" w:rsidRPr="00043797">
        <w:rPr>
          <w:rFonts w:ascii="Arial" w:hAnsi="Arial" w:cs="Arial"/>
          <w:sz w:val="44"/>
          <w:szCs w:val="44"/>
          <w:lang w:val="es-ES_tradnl"/>
        </w:rPr>
        <w:t xml:space="preserve"> 3</w:t>
      </w:r>
    </w:p>
    <w:p w14:paraId="1CD07A47" w14:textId="3077A4F5" w:rsidR="003441FD" w:rsidRPr="00043797" w:rsidRDefault="003441FD" w:rsidP="003A5762">
      <w:pPr>
        <w:spacing w:after="0"/>
        <w:outlineLvl w:val="0"/>
        <w:rPr>
          <w:rFonts w:ascii="Arial" w:hAnsi="Arial" w:cs="Arial"/>
          <w:smallCaps/>
          <w:color w:val="FFFFFF" w:themeColor="background1"/>
          <w:sz w:val="44"/>
          <w:szCs w:val="44"/>
          <w:lang w:val="es-ES_tradnl"/>
        </w:rPr>
      </w:pPr>
      <w:r w:rsidRPr="00043797">
        <w:rPr>
          <w:rFonts w:ascii="Arial" w:hAnsi="Arial" w:cs="Arial"/>
          <w:smallCaps/>
          <w:noProof/>
          <w:color w:val="FFFFFF" w:themeColor="background1"/>
          <w:sz w:val="44"/>
          <w:szCs w:val="44"/>
          <w:lang w:val="en-US"/>
        </w:rPr>
        <mc:AlternateContent>
          <mc:Choice Requires="wps">
            <w:drawing>
              <wp:anchor distT="0" distB="0" distL="114300" distR="114300" simplePos="0" relativeHeight="251659264" behindDoc="1" locked="0" layoutInCell="1" allowOverlap="1" wp14:anchorId="3DAE767B" wp14:editId="69042000">
                <wp:simplePos x="0" y="0"/>
                <wp:positionH relativeFrom="column">
                  <wp:posOffset>-472966</wp:posOffset>
                </wp:positionH>
                <wp:positionV relativeFrom="paragraph">
                  <wp:posOffset>-520262</wp:posOffset>
                </wp:positionV>
                <wp:extent cx="5946240" cy="1245476"/>
                <wp:effectExtent l="0" t="0" r="0" b="0"/>
                <wp:wrapNone/>
                <wp:docPr id="1" name="Rectangle 1"/>
                <wp:cNvGraphicFramePr/>
                <a:graphic xmlns:a="http://schemas.openxmlformats.org/drawingml/2006/main">
                  <a:graphicData uri="http://schemas.microsoft.com/office/word/2010/wordprocessingShape">
                    <wps:wsp>
                      <wps:cNvSpPr/>
                      <wps:spPr>
                        <a:xfrm>
                          <a:off x="0" y="0"/>
                          <a:ext cx="5946240" cy="1245476"/>
                        </a:xfrm>
                        <a:prstGeom prst="rect">
                          <a:avLst/>
                        </a:prstGeom>
                        <a:solidFill>
                          <a:srgbClr val="726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9FE4ABE" id="Rectangle 1" o:spid="_x0000_s1026" style="position:absolute;margin-left:-37.25pt;margin-top:-40.95pt;width:468.2pt;height:9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" fillcolor="#726e52" stroked="f" strokeweight="1pt"/>
            </w:pict>
          </mc:Fallback>
        </mc:AlternateContent>
      </w:r>
      <w:r w:rsidR="00043797" w:rsidRPr="00043797">
        <w:rPr>
          <w:rFonts w:ascii="Arial" w:hAnsi="Arial" w:cs="Arial"/>
          <w:smallCaps/>
          <w:color w:val="FFFFFF" w:themeColor="background1"/>
          <w:sz w:val="44"/>
          <w:szCs w:val="44"/>
          <w:lang w:val="es-ES_tradnl"/>
        </w:rPr>
        <w:t>EMPAQUETADO NEUTRO DE</w:t>
      </w:r>
      <w:r w:rsidR="00F00404">
        <w:rPr>
          <w:rFonts w:ascii="Arial" w:hAnsi="Arial" w:cs="Arial"/>
          <w:smallCaps/>
          <w:color w:val="FFFFFF" w:themeColor="background1"/>
          <w:sz w:val="44"/>
          <w:szCs w:val="44"/>
          <w:lang w:val="es-ES_tradnl"/>
        </w:rPr>
        <w:t>L</w:t>
      </w:r>
      <w:r w:rsidR="00043797" w:rsidRPr="00043797">
        <w:rPr>
          <w:rFonts w:ascii="Arial" w:hAnsi="Arial" w:cs="Arial"/>
          <w:smallCaps/>
          <w:color w:val="FFFFFF" w:themeColor="background1"/>
          <w:sz w:val="44"/>
          <w:szCs w:val="44"/>
          <w:lang w:val="es-ES_tradnl"/>
        </w:rPr>
        <w:t xml:space="preserve"> TABACO</w:t>
      </w:r>
      <w:r w:rsidRPr="00043797">
        <w:rPr>
          <w:rFonts w:ascii="Arial" w:hAnsi="Arial" w:cs="Arial"/>
          <w:smallCaps/>
          <w:color w:val="FFFFFF" w:themeColor="background1"/>
          <w:sz w:val="44"/>
          <w:szCs w:val="44"/>
          <w:lang w:val="es-ES_tradnl"/>
        </w:rPr>
        <w:t xml:space="preserve">: </w:t>
      </w:r>
    </w:p>
    <w:p w14:paraId="04EFB782" w14:textId="235F9D4A" w:rsidR="003441FD" w:rsidRPr="00043797" w:rsidRDefault="00043797" w:rsidP="00043797">
      <w:pPr>
        <w:spacing w:after="0"/>
        <w:rPr>
          <w:rFonts w:ascii="Arial" w:hAnsi="Arial" w:cs="Arial"/>
          <w:color w:val="FFFFFF" w:themeColor="background1"/>
          <w:sz w:val="44"/>
          <w:szCs w:val="44"/>
          <w:lang w:val="es-ES_tradnl"/>
        </w:rPr>
      </w:pPr>
      <w:r w:rsidRPr="00043797">
        <w:rPr>
          <w:rFonts w:ascii="Arial" w:hAnsi="Arial" w:cs="Arial"/>
          <w:color w:val="FFFFFF" w:themeColor="background1"/>
          <w:sz w:val="44"/>
          <w:szCs w:val="44"/>
          <w:lang w:val="es-ES_tradnl"/>
        </w:rPr>
        <w:t>¿Es legal</w:t>
      </w:r>
      <w:r w:rsidR="008D0373" w:rsidRPr="00043797">
        <w:rPr>
          <w:rFonts w:ascii="Arial" w:hAnsi="Arial" w:cs="Arial"/>
          <w:color w:val="FFFFFF" w:themeColor="background1"/>
          <w:sz w:val="44"/>
          <w:szCs w:val="44"/>
          <w:lang w:val="es-ES_tradnl"/>
        </w:rPr>
        <w:t>?</w:t>
      </w:r>
    </w:p>
    <w:p w14:paraId="7B5FB52A" w14:textId="77777777" w:rsidR="003441FD" w:rsidRPr="00043797" w:rsidRDefault="003441FD" w:rsidP="003441FD">
      <w:pPr>
        <w:pStyle w:val="ListParagraph"/>
        <w:numPr>
          <w:ilvl w:val="0"/>
          <w:numId w:val="7"/>
        </w:numPr>
        <w:spacing w:before="120" w:after="80"/>
        <w:ind w:left="357" w:hanging="357"/>
        <w:contextualSpacing w:val="0"/>
        <w:rPr>
          <w:rFonts w:ascii="Arial" w:hAnsi="Arial" w:cs="Arial"/>
          <w:color w:val="D0CECE" w:themeColor="background2" w:themeShade="E6"/>
          <w:sz w:val="32"/>
          <w:szCs w:val="32"/>
          <w:lang w:val="es-ES_tradnl"/>
        </w:rPr>
        <w:sectPr w:rsidR="003441FD" w:rsidRPr="00043797" w:rsidSect="00C026C7">
          <w:footerReference w:type="default" r:id="rId9"/>
          <w:endnotePr>
            <w:numFmt w:val="decimal"/>
          </w:endnotePr>
          <w:pgSz w:w="11906" w:h="16838"/>
          <w:pgMar w:top="720" w:right="720" w:bottom="720" w:left="720" w:header="708" w:footer="708" w:gutter="0"/>
          <w:cols w:space="708"/>
          <w:docGrid w:linePitch="360"/>
        </w:sectPr>
      </w:pPr>
    </w:p>
    <w:p w14:paraId="21B5FC47" w14:textId="4F3F23A2" w:rsidR="003441FD" w:rsidRPr="00043797" w:rsidRDefault="00090A54" w:rsidP="00A42DD0">
      <w:pPr>
        <w:spacing w:before="480" w:after="80" w:line="240" w:lineRule="auto"/>
        <w:ind w:left="567" w:right="2529"/>
        <w:rPr>
          <w:rFonts w:ascii="Arial" w:hAnsi="Arial" w:cs="Arial"/>
          <w:b/>
          <w:color w:val="666633"/>
          <w:sz w:val="32"/>
          <w:szCs w:val="36"/>
          <w:lang w:val="es-ES_tradnl"/>
        </w:rPr>
      </w:pPr>
      <w:r>
        <w:rPr>
          <w:b/>
          <w:noProof/>
          <w:sz w:val="20"/>
          <w:lang w:val="es-ES_tradnl"/>
        </w:rPr>
        <w:lastRenderedPageBreak/>
        <w:pict w14:anchorId="5E4C9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1.6pt;margin-top:21.45pt;width:93.45pt;height:150.1pt;z-index:251661312">
            <v:imagedata r:id="rId10" o:title="Bondstreet_Aus"/>
          </v:shape>
        </w:pict>
      </w:r>
      <w:r w:rsidR="00A42DD0">
        <w:rPr>
          <w:rFonts w:ascii="Arial" w:hAnsi="Arial" w:cs="Arial"/>
          <w:b/>
          <w:color w:val="666633"/>
          <w:sz w:val="32"/>
          <w:szCs w:val="36"/>
          <w:lang w:val="es-ES_tradnl"/>
        </w:rPr>
        <w:t xml:space="preserve">Las </w:t>
      </w:r>
      <w:r w:rsidR="00F00404">
        <w:rPr>
          <w:rFonts w:ascii="Arial" w:hAnsi="Arial" w:cs="Arial"/>
          <w:b/>
          <w:color w:val="666633"/>
          <w:sz w:val="32"/>
          <w:szCs w:val="36"/>
          <w:lang w:val="es-ES_tradnl"/>
        </w:rPr>
        <w:t>empresas</w:t>
      </w:r>
      <w:r w:rsidR="00A42DD0">
        <w:rPr>
          <w:rFonts w:ascii="Arial" w:hAnsi="Arial" w:cs="Arial"/>
          <w:b/>
          <w:color w:val="666633"/>
          <w:sz w:val="32"/>
          <w:szCs w:val="36"/>
          <w:lang w:val="es-ES_tradnl"/>
        </w:rPr>
        <w:t xml:space="preserve"> tabacaleras dicen que el </w:t>
      </w:r>
      <w:r w:rsidR="00F00404">
        <w:rPr>
          <w:rFonts w:ascii="Arial" w:hAnsi="Arial" w:cs="Arial"/>
          <w:b/>
          <w:color w:val="666633"/>
          <w:sz w:val="32"/>
          <w:szCs w:val="36"/>
          <w:lang w:val="es-ES_tradnl"/>
        </w:rPr>
        <w:t>empaquetado neutro es ilegal:</w:t>
      </w:r>
      <w:r w:rsidR="00A42DD0">
        <w:rPr>
          <w:rFonts w:ascii="Arial" w:hAnsi="Arial" w:cs="Arial"/>
          <w:b/>
          <w:color w:val="666633"/>
          <w:sz w:val="32"/>
          <w:szCs w:val="36"/>
          <w:lang w:val="es-ES_tradnl"/>
        </w:rPr>
        <w:t xml:space="preserve"> ¿es cierto?</w:t>
      </w:r>
    </w:p>
    <w:p w14:paraId="5D9BF88C" w14:textId="77777777" w:rsidR="003441FD" w:rsidRPr="00043797" w:rsidRDefault="003441FD" w:rsidP="00B140FD">
      <w:pPr>
        <w:pStyle w:val="ListParagraph"/>
        <w:numPr>
          <w:ilvl w:val="0"/>
          <w:numId w:val="4"/>
        </w:numPr>
        <w:spacing w:after="80"/>
        <w:ind w:left="567" w:right="2528" w:firstLine="0"/>
        <w:contextualSpacing w:val="0"/>
        <w:rPr>
          <w:lang w:val="es-ES_tradnl"/>
        </w:rPr>
        <w:sectPr w:rsidR="003441FD" w:rsidRPr="00043797" w:rsidSect="003441FD">
          <w:endnotePr>
            <w:numFmt w:val="decimal"/>
          </w:endnotePr>
          <w:type w:val="continuous"/>
          <w:pgSz w:w="11906" w:h="16838"/>
          <w:pgMar w:top="720" w:right="720" w:bottom="720" w:left="720" w:header="708" w:footer="708" w:gutter="0"/>
          <w:cols w:space="708"/>
          <w:docGrid w:linePitch="360"/>
        </w:sectPr>
      </w:pPr>
    </w:p>
    <w:p w14:paraId="7B83BF8A" w14:textId="35188B34" w:rsidR="00BE21C5" w:rsidRDefault="00A42DD0" w:rsidP="00BE21C5">
      <w:pPr>
        <w:spacing w:after="120"/>
        <w:ind w:left="567" w:right="2529"/>
        <w:jc w:val="both"/>
        <w:rPr>
          <w:rFonts w:ascii="Arial" w:hAnsi="Arial" w:cs="Arial"/>
          <w:lang w:val="es-ES"/>
        </w:rPr>
      </w:pPr>
      <w:r w:rsidRPr="00A42DD0">
        <w:rPr>
          <w:rFonts w:ascii="Arial" w:hAnsi="Arial" w:cs="Arial"/>
          <w:b/>
          <w:bCs/>
          <w:lang w:val="es-ES"/>
        </w:rPr>
        <w:lastRenderedPageBreak/>
        <w:t>Las leyes de empaquetado neutro han sido confirmadas como legales por cortes y tribunales nacionales, regionales e internacionales</w:t>
      </w:r>
      <w:r w:rsidRPr="00A42DD0">
        <w:rPr>
          <w:rFonts w:ascii="Arial" w:hAnsi="Arial" w:cs="Arial"/>
          <w:lang w:val="es-ES"/>
        </w:rPr>
        <w:t xml:space="preserve">, que han </w:t>
      </w:r>
      <w:r w:rsidR="00F00404">
        <w:rPr>
          <w:rFonts w:ascii="Arial" w:hAnsi="Arial" w:cs="Arial"/>
          <w:lang w:val="es-ES"/>
        </w:rPr>
        <w:t>determinado</w:t>
      </w:r>
      <w:r w:rsidRPr="00A42DD0">
        <w:rPr>
          <w:rFonts w:ascii="Arial" w:hAnsi="Arial" w:cs="Arial"/>
          <w:lang w:val="es-ES"/>
        </w:rPr>
        <w:t xml:space="preserve"> que todos los argumentos legales presentados por las </w:t>
      </w:r>
      <w:r w:rsidR="00F00404">
        <w:rPr>
          <w:rFonts w:ascii="Arial" w:hAnsi="Arial" w:cs="Arial"/>
          <w:lang w:val="es-ES"/>
        </w:rPr>
        <w:t>empresas</w:t>
      </w:r>
      <w:r w:rsidRPr="00A42DD0">
        <w:rPr>
          <w:rFonts w:ascii="Arial" w:hAnsi="Arial" w:cs="Arial"/>
          <w:lang w:val="es-ES"/>
        </w:rPr>
        <w:t xml:space="preserve"> tabacaleras son defectuosos.</w:t>
      </w:r>
    </w:p>
    <w:p w14:paraId="229889D4" w14:textId="09A1145F" w:rsidR="003441FD" w:rsidRPr="00BE21C5" w:rsidRDefault="00A42DD0" w:rsidP="00BE21C5">
      <w:pPr>
        <w:spacing w:after="120"/>
        <w:ind w:left="567" w:right="2529"/>
        <w:jc w:val="both"/>
        <w:rPr>
          <w:rFonts w:ascii="Arial" w:hAnsi="Arial" w:cs="Arial"/>
          <w:lang w:val="es-ES_tradnl"/>
        </w:rPr>
      </w:pPr>
      <w:r>
        <w:rPr>
          <w:rFonts w:ascii="Arial" w:hAnsi="Arial" w:cs="Arial"/>
          <w:lang w:val="es-ES"/>
        </w:rPr>
        <w:t>El empaquetado neutro está recomendado</w:t>
      </w:r>
      <w:r w:rsidRPr="00A42DD0">
        <w:rPr>
          <w:rFonts w:ascii="Arial" w:hAnsi="Arial" w:cs="Arial"/>
          <w:lang w:val="es-ES"/>
        </w:rPr>
        <w:t xml:space="preserve"> en las directrices de implementación para los artículos 11 y 13 del Convenio Marco de la OMS para el Control del Tabaco</w:t>
      </w:r>
      <w:r w:rsidR="00F00404">
        <w:rPr>
          <w:rFonts w:ascii="Arial" w:hAnsi="Arial" w:cs="Arial"/>
          <w:lang w:val="es-ES"/>
        </w:rPr>
        <w:t xml:space="preserve"> (CMCT)</w:t>
      </w:r>
      <w:r w:rsidRPr="00A42DD0">
        <w:rPr>
          <w:rFonts w:ascii="Arial" w:hAnsi="Arial" w:cs="Arial"/>
          <w:lang w:val="es-ES"/>
        </w:rPr>
        <w:t>, uno de los tratados internacionales más ampliamente ratificados en el mundo.</w:t>
      </w:r>
    </w:p>
    <w:p w14:paraId="4F94D0A9" w14:textId="78EB7B97" w:rsidR="00BE21C5" w:rsidRPr="00BE21C5" w:rsidRDefault="00BE21C5" w:rsidP="00BE21C5">
      <w:pPr>
        <w:spacing w:after="120"/>
        <w:ind w:left="567" w:right="2529"/>
        <w:jc w:val="both"/>
        <w:rPr>
          <w:rFonts w:ascii="Arial" w:hAnsi="Arial" w:cs="Arial"/>
          <w:lang w:val="es-ES_tradnl"/>
        </w:rPr>
      </w:pPr>
      <w:r>
        <w:rPr>
          <w:rFonts w:ascii="Arial" w:hAnsi="Arial" w:cs="Arial"/>
          <w:lang w:val="es-ES_tradnl"/>
        </w:rPr>
        <w:t>Si se adopta utilizando las disposiciones administrativa</w:t>
      </w:r>
      <w:r w:rsidRPr="00BE21C5">
        <w:rPr>
          <w:rFonts w:ascii="Arial" w:hAnsi="Arial" w:cs="Arial"/>
          <w:lang w:val="es-ES_tradnl"/>
        </w:rPr>
        <w:t>s</w:t>
      </w:r>
      <w:r>
        <w:rPr>
          <w:rFonts w:ascii="Arial" w:hAnsi="Arial" w:cs="Arial"/>
          <w:lang w:val="es-ES_tradnl"/>
        </w:rPr>
        <w:t>, constitucionales y legislativas nacionales adecuada</w:t>
      </w:r>
      <w:r w:rsidRPr="00BE21C5">
        <w:rPr>
          <w:rFonts w:ascii="Arial" w:hAnsi="Arial" w:cs="Arial"/>
          <w:lang w:val="es-ES_tradnl"/>
        </w:rPr>
        <w:t xml:space="preserve">s, entonces no existe una razón inherente por la cual las leyes de empaquetado </w:t>
      </w:r>
      <w:r>
        <w:rPr>
          <w:rFonts w:ascii="Arial" w:hAnsi="Arial" w:cs="Arial"/>
          <w:lang w:val="es-ES_tradnl"/>
        </w:rPr>
        <w:t>neutro</w:t>
      </w:r>
      <w:r w:rsidRPr="00BE21C5">
        <w:rPr>
          <w:rFonts w:ascii="Arial" w:hAnsi="Arial" w:cs="Arial"/>
          <w:lang w:val="es-ES_tradnl"/>
        </w:rPr>
        <w:t xml:space="preserve"> </w:t>
      </w:r>
      <w:r>
        <w:rPr>
          <w:rFonts w:ascii="Arial" w:hAnsi="Arial" w:cs="Arial"/>
          <w:lang w:val="es-ES_tradnl"/>
        </w:rPr>
        <w:t>puedan ser consideradas</w:t>
      </w:r>
      <w:r w:rsidRPr="00BE21C5">
        <w:rPr>
          <w:rFonts w:ascii="Arial" w:hAnsi="Arial" w:cs="Arial"/>
          <w:lang w:val="es-ES_tradnl"/>
        </w:rPr>
        <w:t xml:space="preserve"> ilegales.</w:t>
      </w:r>
    </w:p>
    <w:p w14:paraId="35FA4078" w14:textId="77777777" w:rsidR="00BE21C5" w:rsidRPr="00043797" w:rsidRDefault="00BE21C5" w:rsidP="00B140FD">
      <w:pPr>
        <w:spacing w:after="120"/>
        <w:ind w:left="567" w:right="2528"/>
        <w:rPr>
          <w:b/>
          <w:color w:val="666633"/>
          <w:lang w:val="es-ES_tradnl"/>
        </w:rPr>
        <w:sectPr w:rsidR="00BE21C5" w:rsidRPr="00043797" w:rsidSect="003441FD">
          <w:endnotePr>
            <w:numFmt w:val="decimal"/>
          </w:endnotePr>
          <w:type w:val="continuous"/>
          <w:pgSz w:w="11906" w:h="16838"/>
          <w:pgMar w:top="720" w:right="720" w:bottom="720" w:left="720" w:header="708" w:footer="708" w:gutter="0"/>
          <w:cols w:space="286"/>
          <w:docGrid w:linePitch="360"/>
        </w:sectPr>
      </w:pPr>
    </w:p>
    <w:p w14:paraId="50EC4150" w14:textId="5DDCDE1C" w:rsidR="003441FD" w:rsidRPr="00043797" w:rsidRDefault="00F00404" w:rsidP="003A5762">
      <w:pPr>
        <w:spacing w:before="480" w:after="80" w:line="240" w:lineRule="auto"/>
        <w:ind w:left="567" w:right="403"/>
        <w:outlineLvl w:val="0"/>
        <w:rPr>
          <w:rFonts w:ascii="Arial" w:hAnsi="Arial" w:cs="Arial"/>
          <w:b/>
          <w:color w:val="666633"/>
          <w:sz w:val="32"/>
          <w:szCs w:val="36"/>
          <w:lang w:val="es-ES_tradnl"/>
        </w:rPr>
      </w:pPr>
      <w:r>
        <w:rPr>
          <w:rFonts w:ascii="Arial" w:hAnsi="Arial" w:cs="Arial"/>
          <w:b/>
          <w:color w:val="666633"/>
          <w:sz w:val="32"/>
          <w:szCs w:val="36"/>
          <w:lang w:val="es-ES_tradnl"/>
        </w:rPr>
        <w:lastRenderedPageBreak/>
        <w:t xml:space="preserve">Objeciones legales </w:t>
      </w:r>
      <w:r w:rsidR="00BE21C5">
        <w:rPr>
          <w:rFonts w:ascii="Arial" w:hAnsi="Arial" w:cs="Arial"/>
          <w:b/>
          <w:color w:val="666633"/>
          <w:sz w:val="32"/>
          <w:szCs w:val="36"/>
          <w:lang w:val="es-ES_tradnl"/>
        </w:rPr>
        <w:t>a las leyes de empaquetado neutro</w:t>
      </w:r>
      <w:r w:rsidR="003441FD" w:rsidRPr="00043797">
        <w:rPr>
          <w:rFonts w:ascii="Arial" w:hAnsi="Arial" w:cs="Arial"/>
          <w:b/>
          <w:color w:val="666633"/>
          <w:sz w:val="32"/>
          <w:szCs w:val="36"/>
          <w:lang w:val="es-ES_tradnl"/>
        </w:rPr>
        <w:t>:</w:t>
      </w:r>
    </w:p>
    <w:p w14:paraId="4719E5E8" w14:textId="77663665" w:rsidR="00BE21C5" w:rsidRDefault="00BE21C5" w:rsidP="00F00404">
      <w:pPr>
        <w:spacing w:after="120" w:line="240" w:lineRule="auto"/>
        <w:ind w:left="567" w:right="1110"/>
        <w:rPr>
          <w:rFonts w:ascii="Arial" w:hAnsi="Arial" w:cs="Arial"/>
          <w:lang w:val="es-ES_tradnl"/>
        </w:rPr>
      </w:pPr>
      <w:r>
        <w:rPr>
          <w:rFonts w:ascii="Arial" w:hAnsi="Arial" w:cs="Arial"/>
          <w:lang w:val="es-ES"/>
        </w:rPr>
        <w:t>Hasta n</w:t>
      </w:r>
      <w:r w:rsidR="003A5762">
        <w:rPr>
          <w:rFonts w:ascii="Arial" w:hAnsi="Arial" w:cs="Arial"/>
          <w:lang w:val="es-ES"/>
        </w:rPr>
        <w:t>oviembre de 2017, todas la</w:t>
      </w:r>
      <w:r w:rsidRPr="00BE21C5">
        <w:rPr>
          <w:rFonts w:ascii="Arial" w:hAnsi="Arial" w:cs="Arial"/>
          <w:lang w:val="es-ES"/>
        </w:rPr>
        <w:t xml:space="preserve">s </w:t>
      </w:r>
      <w:r w:rsidR="003A5762">
        <w:rPr>
          <w:rFonts w:ascii="Arial" w:hAnsi="Arial" w:cs="Arial"/>
          <w:lang w:val="es-ES"/>
        </w:rPr>
        <w:t>objeciones</w:t>
      </w:r>
      <w:r w:rsidRPr="00BE21C5">
        <w:rPr>
          <w:rFonts w:ascii="Arial" w:hAnsi="Arial" w:cs="Arial"/>
          <w:lang w:val="es-ES"/>
        </w:rPr>
        <w:t xml:space="preserve"> legales a las leyes de empaquetado </w:t>
      </w:r>
      <w:r>
        <w:rPr>
          <w:rFonts w:ascii="Arial" w:hAnsi="Arial" w:cs="Arial"/>
          <w:lang w:val="es-ES"/>
        </w:rPr>
        <w:t xml:space="preserve">neutro que se han decidido </w:t>
      </w:r>
      <w:r w:rsidRPr="00BE21C5">
        <w:rPr>
          <w:rFonts w:ascii="Arial" w:hAnsi="Arial" w:cs="Arial"/>
          <w:lang w:val="es-ES"/>
        </w:rPr>
        <w:t>han confirmado la legalidad de es</w:t>
      </w:r>
      <w:r>
        <w:rPr>
          <w:rFonts w:ascii="Arial" w:hAnsi="Arial" w:cs="Arial"/>
          <w:lang w:val="es-ES"/>
        </w:rPr>
        <w:t>t</w:t>
      </w:r>
      <w:r w:rsidRPr="00BE21C5">
        <w:rPr>
          <w:rFonts w:ascii="Arial" w:hAnsi="Arial" w:cs="Arial"/>
          <w:lang w:val="es-ES"/>
        </w:rPr>
        <w:t>as leyes:</w:t>
      </w:r>
    </w:p>
    <w:p w14:paraId="2741BA14" w14:textId="77777777" w:rsidR="00F00404" w:rsidRPr="00043797" w:rsidRDefault="00F00404" w:rsidP="00F00404">
      <w:pPr>
        <w:spacing w:after="120" w:line="240" w:lineRule="auto"/>
        <w:ind w:left="567" w:right="1110"/>
        <w:rPr>
          <w:rFonts w:ascii="Arial" w:hAnsi="Arial" w:cs="Arial"/>
          <w:lang w:val="es-ES_tradnl"/>
        </w:rPr>
      </w:pPr>
    </w:p>
    <w:p w14:paraId="17BFF33B" w14:textId="77777777" w:rsidR="00A80810" w:rsidRPr="00F00404" w:rsidRDefault="00A80810" w:rsidP="003A5762">
      <w:pPr>
        <w:spacing w:before="120" w:after="0" w:line="240" w:lineRule="auto"/>
        <w:ind w:left="567" w:right="1252"/>
        <w:jc w:val="both"/>
        <w:outlineLvl w:val="0"/>
        <w:rPr>
          <w:rFonts w:ascii="Arial" w:hAnsi="Arial" w:cs="Arial"/>
          <w:b/>
          <w:lang w:val="es-ES_tradnl"/>
        </w:rPr>
      </w:pPr>
      <w:r w:rsidRPr="00F00404">
        <w:rPr>
          <w:rFonts w:ascii="Arial" w:hAnsi="Arial" w:cs="Arial"/>
          <w:b/>
          <w:lang w:val="es-ES_tradnl"/>
        </w:rPr>
        <w:t xml:space="preserve">AUSTRALIA </w:t>
      </w:r>
    </w:p>
    <w:p w14:paraId="39E2D967" w14:textId="0BEF1F4B" w:rsidR="00A80810" w:rsidRPr="00F00404" w:rsidRDefault="0021637F" w:rsidP="003A5762">
      <w:pPr>
        <w:spacing w:after="0" w:line="240" w:lineRule="auto"/>
        <w:ind w:left="567" w:right="1252"/>
        <w:jc w:val="both"/>
        <w:rPr>
          <w:rFonts w:ascii="Arial" w:hAnsi="Arial" w:cs="Arial"/>
          <w:lang w:val="es-ES_tradnl"/>
        </w:rPr>
      </w:pPr>
      <w:r>
        <w:rPr>
          <w:rFonts w:ascii="Arial" w:hAnsi="Arial" w:cs="Arial"/>
          <w:lang w:val="es-ES_tradnl"/>
        </w:rPr>
        <w:t>Recurso de inconstitucionalidad</w:t>
      </w:r>
      <w:r w:rsidR="003A5762" w:rsidRPr="00F00404">
        <w:rPr>
          <w:rFonts w:ascii="Arial" w:hAnsi="Arial" w:cs="Arial"/>
          <w:lang w:val="es-ES_tradnl"/>
        </w:rPr>
        <w:t xml:space="preserve"> en el Tribunal Supremo de Australia</w:t>
      </w:r>
      <w:r w:rsidR="00A80810" w:rsidRPr="00F00404">
        <w:rPr>
          <w:rStyle w:val="EndnoteReference"/>
          <w:rFonts w:ascii="Arial" w:hAnsi="Arial" w:cs="Arial"/>
          <w:lang w:val="es-ES_tradnl"/>
        </w:rPr>
        <w:endnoteReference w:id="1"/>
      </w:r>
      <w:r w:rsidR="003A5762" w:rsidRPr="00F00404">
        <w:rPr>
          <w:rFonts w:ascii="Arial" w:hAnsi="Arial" w:cs="Arial"/>
          <w:lang w:val="es-ES_tradnl"/>
        </w:rPr>
        <w:t xml:space="preserve"> </w:t>
      </w:r>
      <w:r w:rsidR="00C026C7" w:rsidRPr="00F00404">
        <w:rPr>
          <w:rFonts w:ascii="Arial" w:hAnsi="Arial" w:cs="Arial"/>
          <w:lang w:val="es-ES_tradnl"/>
        </w:rPr>
        <w:t>—</w:t>
      </w:r>
      <w:r w:rsidR="00A80810" w:rsidRPr="00F00404">
        <w:rPr>
          <w:rFonts w:ascii="Arial" w:hAnsi="Arial" w:cs="Arial"/>
          <w:b/>
          <w:lang w:val="es-ES_tradnl"/>
        </w:rPr>
        <w:t xml:space="preserve"> </w:t>
      </w:r>
      <w:r w:rsidR="003A5762" w:rsidRPr="00F00404">
        <w:rPr>
          <w:rFonts w:ascii="Arial" w:hAnsi="Arial" w:cs="Arial"/>
          <w:b/>
          <w:lang w:val="es-ES_tradnl"/>
        </w:rPr>
        <w:t>desestimad</w:t>
      </w:r>
      <w:r w:rsidR="00916A28" w:rsidRPr="00F00404">
        <w:rPr>
          <w:rFonts w:ascii="Arial" w:hAnsi="Arial" w:cs="Arial"/>
          <w:b/>
          <w:lang w:val="es-ES_tradnl"/>
        </w:rPr>
        <w:t>o</w:t>
      </w:r>
      <w:r w:rsidR="00A80810" w:rsidRPr="00F00404">
        <w:rPr>
          <w:rFonts w:ascii="Arial" w:hAnsi="Arial" w:cs="Arial"/>
          <w:lang w:val="es-ES_tradnl"/>
        </w:rPr>
        <w:t xml:space="preserve"> </w:t>
      </w:r>
      <w:r w:rsidR="003A5762" w:rsidRPr="00F00404">
        <w:rPr>
          <w:rFonts w:ascii="Arial" w:hAnsi="Arial" w:cs="Arial"/>
          <w:lang w:val="es-ES_tradnl"/>
        </w:rPr>
        <w:t>agosto</w:t>
      </w:r>
      <w:r>
        <w:rPr>
          <w:rFonts w:ascii="Arial" w:hAnsi="Arial" w:cs="Arial"/>
          <w:lang w:val="es-ES_tradnl"/>
        </w:rPr>
        <w:t xml:space="preserve"> </w:t>
      </w:r>
      <w:r w:rsidR="00A80810" w:rsidRPr="00F00404">
        <w:rPr>
          <w:rFonts w:ascii="Arial" w:hAnsi="Arial" w:cs="Arial"/>
          <w:lang w:val="es-ES_tradnl"/>
        </w:rPr>
        <w:t>2012</w:t>
      </w:r>
    </w:p>
    <w:p w14:paraId="4EBB1C62" w14:textId="0D6A2BDC" w:rsidR="00A80810" w:rsidRPr="00F00404" w:rsidRDefault="005D6A65" w:rsidP="005D6A65">
      <w:pPr>
        <w:spacing w:after="0" w:line="240" w:lineRule="auto"/>
        <w:ind w:left="567" w:right="1252"/>
        <w:jc w:val="both"/>
        <w:rPr>
          <w:rFonts w:ascii="Arial" w:hAnsi="Arial" w:cs="Arial"/>
          <w:lang w:val="es-ES_tradnl"/>
        </w:rPr>
      </w:pPr>
      <w:r w:rsidRPr="00F00404">
        <w:rPr>
          <w:rFonts w:ascii="Arial" w:hAnsi="Arial" w:cs="Arial"/>
          <w:lang w:val="es-ES_tradnl"/>
        </w:rPr>
        <w:t>Reclamo de arbitraje internacional de inversiones</w:t>
      </w:r>
      <w:r w:rsidR="00A80810" w:rsidRPr="00F00404">
        <w:rPr>
          <w:rStyle w:val="EndnoteReference"/>
          <w:rFonts w:ascii="Arial" w:hAnsi="Arial" w:cs="Arial"/>
          <w:lang w:val="es-ES_tradnl"/>
        </w:rPr>
        <w:endnoteReference w:id="2"/>
      </w:r>
      <w:r w:rsidR="00A80810" w:rsidRPr="00F00404">
        <w:rPr>
          <w:rFonts w:ascii="Arial" w:hAnsi="Arial" w:cs="Arial"/>
          <w:lang w:val="es-ES_tradnl"/>
        </w:rPr>
        <w:t xml:space="preserve"> </w:t>
      </w:r>
      <w:r w:rsidR="00C026C7" w:rsidRPr="00F00404">
        <w:rPr>
          <w:rFonts w:ascii="Arial" w:hAnsi="Arial" w:cs="Arial"/>
          <w:lang w:val="es-ES_tradnl"/>
        </w:rPr>
        <w:t>—</w:t>
      </w:r>
      <w:r w:rsidR="00A80810" w:rsidRPr="00F00404">
        <w:rPr>
          <w:rFonts w:ascii="Arial" w:hAnsi="Arial" w:cs="Arial"/>
          <w:lang w:val="es-ES_tradnl"/>
        </w:rPr>
        <w:t xml:space="preserve"> </w:t>
      </w:r>
      <w:r w:rsidR="003A5762" w:rsidRPr="00F00404">
        <w:rPr>
          <w:rFonts w:ascii="Arial" w:hAnsi="Arial" w:cs="Arial"/>
          <w:b/>
          <w:lang w:val="es-ES_tradnl"/>
        </w:rPr>
        <w:t>desestimad</w:t>
      </w:r>
      <w:r w:rsidR="00916A28" w:rsidRPr="00F00404">
        <w:rPr>
          <w:rFonts w:ascii="Arial" w:hAnsi="Arial" w:cs="Arial"/>
          <w:b/>
          <w:lang w:val="es-ES_tradnl"/>
        </w:rPr>
        <w:t>o</w:t>
      </w:r>
      <w:r w:rsidR="003A5762" w:rsidRPr="00F00404">
        <w:rPr>
          <w:rFonts w:ascii="Arial" w:hAnsi="Arial" w:cs="Arial"/>
          <w:lang w:val="es-ES_tradnl"/>
        </w:rPr>
        <w:t xml:space="preserve"> diciembre</w:t>
      </w:r>
      <w:r w:rsidR="00A80810" w:rsidRPr="00F00404">
        <w:rPr>
          <w:rFonts w:ascii="Arial" w:hAnsi="Arial" w:cs="Arial"/>
          <w:lang w:val="es-ES_tradnl"/>
        </w:rPr>
        <w:t xml:space="preserve"> 2015</w:t>
      </w:r>
    </w:p>
    <w:p w14:paraId="7B3CBEE1" w14:textId="4385E1D4" w:rsidR="00A80810" w:rsidRPr="00F00404" w:rsidRDefault="0021637F" w:rsidP="001709BE">
      <w:pPr>
        <w:spacing w:after="0" w:line="240" w:lineRule="auto"/>
        <w:ind w:left="567" w:right="1252"/>
        <w:jc w:val="both"/>
        <w:rPr>
          <w:rFonts w:ascii="Arial" w:hAnsi="Arial" w:cs="Arial"/>
          <w:b/>
          <w:lang w:val="es-ES_tradnl"/>
        </w:rPr>
      </w:pPr>
      <w:r>
        <w:rPr>
          <w:rFonts w:ascii="Arial" w:hAnsi="Arial" w:cs="Arial"/>
          <w:lang w:val="es-ES_tradnl"/>
        </w:rPr>
        <w:t>Reclamación</w:t>
      </w:r>
      <w:r w:rsidR="001709BE" w:rsidRPr="00F00404">
        <w:rPr>
          <w:rFonts w:ascii="Arial" w:hAnsi="Arial" w:cs="Arial"/>
          <w:lang w:val="es-ES_tradnl"/>
        </w:rPr>
        <w:t xml:space="preserve"> ante el panel de dispu</w:t>
      </w:r>
      <w:r w:rsidR="005D6A65" w:rsidRPr="00F00404">
        <w:rPr>
          <w:rFonts w:ascii="Arial" w:hAnsi="Arial" w:cs="Arial"/>
          <w:lang w:val="es-ES_tradnl"/>
        </w:rPr>
        <w:t>tas de la OMC</w:t>
      </w:r>
      <w:r w:rsidR="00A80810" w:rsidRPr="00F00404">
        <w:rPr>
          <w:rFonts w:ascii="Arial" w:hAnsi="Arial" w:cs="Arial"/>
          <w:lang w:val="es-ES_tradnl"/>
        </w:rPr>
        <w:t xml:space="preserve"> </w:t>
      </w:r>
      <w:r w:rsidR="00C026C7" w:rsidRPr="00F00404">
        <w:rPr>
          <w:rFonts w:ascii="Arial" w:hAnsi="Arial" w:cs="Arial"/>
          <w:lang w:val="es-ES_tradnl"/>
        </w:rPr>
        <w:t>—</w:t>
      </w:r>
      <w:r w:rsidR="004659CC" w:rsidRPr="00F00404">
        <w:rPr>
          <w:rFonts w:ascii="Arial" w:hAnsi="Arial" w:cs="Arial"/>
          <w:lang w:val="es-ES_tradnl"/>
        </w:rPr>
        <w:t xml:space="preserve"> </w:t>
      </w:r>
      <w:r w:rsidR="001709BE" w:rsidRPr="00F00404">
        <w:rPr>
          <w:rFonts w:ascii="Arial" w:hAnsi="Arial" w:cs="Arial"/>
          <w:lang w:val="es-ES_tradnl"/>
        </w:rPr>
        <w:t>fallo previsto en</w:t>
      </w:r>
      <w:r w:rsidR="00A80810" w:rsidRPr="00F00404">
        <w:rPr>
          <w:rFonts w:ascii="Arial" w:hAnsi="Arial" w:cs="Arial"/>
          <w:lang w:val="es-ES_tradnl"/>
        </w:rPr>
        <w:t xml:space="preserve"> 2017</w:t>
      </w:r>
    </w:p>
    <w:p w14:paraId="6473B16D" w14:textId="0711C9E7" w:rsidR="00A80810" w:rsidRPr="00F00404" w:rsidRDefault="00BE21C5" w:rsidP="003A5762">
      <w:pPr>
        <w:tabs>
          <w:tab w:val="left" w:pos="284"/>
        </w:tabs>
        <w:spacing w:before="120" w:after="0" w:line="240" w:lineRule="auto"/>
        <w:ind w:left="567" w:right="1252"/>
        <w:jc w:val="both"/>
        <w:outlineLvl w:val="0"/>
        <w:rPr>
          <w:rFonts w:ascii="Arial" w:hAnsi="Arial" w:cs="Arial"/>
          <w:b/>
          <w:lang w:val="es-ES_tradnl"/>
        </w:rPr>
      </w:pPr>
      <w:r w:rsidRPr="00F00404">
        <w:rPr>
          <w:rFonts w:ascii="Arial" w:hAnsi="Arial" w:cs="Arial"/>
          <w:b/>
          <w:lang w:val="es-ES_tradnl"/>
        </w:rPr>
        <w:t>REINO UNIDO</w:t>
      </w:r>
    </w:p>
    <w:p w14:paraId="456A8DD2" w14:textId="1EEF514D" w:rsidR="0013425C" w:rsidRPr="00F00404" w:rsidRDefault="00A83D3C" w:rsidP="00916A28">
      <w:pPr>
        <w:spacing w:after="0" w:line="240" w:lineRule="auto"/>
        <w:ind w:left="567" w:right="1252"/>
        <w:jc w:val="both"/>
        <w:rPr>
          <w:rFonts w:ascii="Arial" w:hAnsi="Arial" w:cs="Arial"/>
          <w:lang w:val="es-ES_tradnl"/>
        </w:rPr>
      </w:pPr>
      <w:r w:rsidRPr="00F00404">
        <w:rPr>
          <w:rFonts w:ascii="Arial" w:hAnsi="Arial" w:cs="Arial"/>
          <w:lang w:val="es-ES_tradnl"/>
        </w:rPr>
        <w:t>Cinco reclam</w:t>
      </w:r>
      <w:r w:rsidR="0021637F">
        <w:rPr>
          <w:rFonts w:ascii="Arial" w:hAnsi="Arial" w:cs="Arial"/>
          <w:lang w:val="es-ES_tradnl"/>
        </w:rPr>
        <w:t>aciones</w:t>
      </w:r>
      <w:r w:rsidRPr="00F00404">
        <w:rPr>
          <w:rFonts w:ascii="Arial" w:hAnsi="Arial" w:cs="Arial"/>
          <w:lang w:val="es-ES_tradnl"/>
        </w:rPr>
        <w:t xml:space="preserve"> </w:t>
      </w:r>
      <w:r w:rsidR="00916A28" w:rsidRPr="00F00404">
        <w:rPr>
          <w:rFonts w:ascii="Arial" w:hAnsi="Arial" w:cs="Arial"/>
          <w:lang w:val="es-ES_tradnl"/>
        </w:rPr>
        <w:t>en el Tribunal Supremo de Inglaterra y Gales</w:t>
      </w:r>
      <w:r w:rsidR="00A80810" w:rsidRPr="00F00404">
        <w:rPr>
          <w:rStyle w:val="EndnoteReference"/>
          <w:rFonts w:ascii="Arial" w:hAnsi="Arial" w:cs="Arial"/>
          <w:lang w:val="es-ES_tradnl"/>
        </w:rPr>
        <w:endnoteReference w:id="3"/>
      </w:r>
      <w:r w:rsidR="00A80810" w:rsidRPr="00F00404">
        <w:rPr>
          <w:rFonts w:ascii="Arial" w:hAnsi="Arial" w:cs="Arial"/>
          <w:lang w:val="es-ES_tradnl"/>
        </w:rPr>
        <w:t xml:space="preserve"> </w:t>
      </w:r>
      <w:r w:rsidR="00C026C7" w:rsidRPr="00F00404">
        <w:rPr>
          <w:rFonts w:ascii="Arial" w:hAnsi="Arial" w:cs="Arial"/>
          <w:lang w:val="es-ES_tradnl"/>
        </w:rPr>
        <w:t>—</w:t>
      </w:r>
      <w:r w:rsidR="00A80810" w:rsidRPr="00F00404">
        <w:rPr>
          <w:rFonts w:ascii="Arial" w:hAnsi="Arial" w:cs="Arial"/>
          <w:lang w:val="es-ES_tradnl"/>
        </w:rPr>
        <w:t xml:space="preserve"> </w:t>
      </w:r>
      <w:r w:rsidR="003A5762" w:rsidRPr="00F00404">
        <w:rPr>
          <w:rFonts w:ascii="Arial" w:hAnsi="Arial" w:cs="Arial"/>
          <w:b/>
          <w:lang w:val="es-ES_tradnl"/>
        </w:rPr>
        <w:t>desestimad</w:t>
      </w:r>
      <w:r w:rsidR="00916A28" w:rsidRPr="00F00404">
        <w:rPr>
          <w:rFonts w:ascii="Arial" w:hAnsi="Arial" w:cs="Arial"/>
          <w:b/>
          <w:lang w:val="es-ES_tradnl"/>
        </w:rPr>
        <w:t>os</w:t>
      </w:r>
      <w:r w:rsidR="00566D44" w:rsidRPr="00F00404">
        <w:rPr>
          <w:rFonts w:ascii="Arial" w:hAnsi="Arial" w:cs="Arial"/>
          <w:lang w:val="es-ES_tradnl"/>
        </w:rPr>
        <w:t xml:space="preserve"> </w:t>
      </w:r>
      <w:r w:rsidR="003A5762" w:rsidRPr="00F00404">
        <w:rPr>
          <w:rFonts w:ascii="Arial" w:hAnsi="Arial" w:cs="Arial"/>
          <w:lang w:val="es-ES_tradnl"/>
        </w:rPr>
        <w:t>m</w:t>
      </w:r>
      <w:r w:rsidR="00A80810" w:rsidRPr="00F00404">
        <w:rPr>
          <w:rFonts w:ascii="Arial" w:hAnsi="Arial" w:cs="Arial"/>
          <w:lang w:val="es-ES_tradnl"/>
        </w:rPr>
        <w:t>ay</w:t>
      </w:r>
      <w:r w:rsidR="003A5762" w:rsidRPr="00F00404">
        <w:rPr>
          <w:rFonts w:ascii="Arial" w:hAnsi="Arial" w:cs="Arial"/>
          <w:lang w:val="es-ES_tradnl"/>
        </w:rPr>
        <w:t>o</w:t>
      </w:r>
      <w:r w:rsidR="00A80810" w:rsidRPr="00F00404">
        <w:rPr>
          <w:rFonts w:ascii="Arial" w:hAnsi="Arial" w:cs="Arial"/>
          <w:lang w:val="es-ES_tradnl"/>
        </w:rPr>
        <w:t xml:space="preserve"> 2016 </w:t>
      </w:r>
    </w:p>
    <w:p w14:paraId="23CF885C" w14:textId="520689C4" w:rsidR="00A80810" w:rsidRPr="00F00404" w:rsidRDefault="00916A28" w:rsidP="00916A28">
      <w:pPr>
        <w:spacing w:after="0" w:line="240" w:lineRule="auto"/>
        <w:ind w:left="567" w:right="1252"/>
        <w:jc w:val="both"/>
        <w:rPr>
          <w:rFonts w:ascii="Arial" w:hAnsi="Arial" w:cs="Arial"/>
          <w:lang w:val="es-ES_tradnl"/>
        </w:rPr>
      </w:pPr>
      <w:r w:rsidRPr="00F00404">
        <w:rPr>
          <w:rFonts w:ascii="Arial" w:hAnsi="Arial" w:cs="Arial"/>
          <w:lang w:val="es-ES_tradnl"/>
        </w:rPr>
        <w:t>Reclam</w:t>
      </w:r>
      <w:r w:rsidR="0021637F">
        <w:rPr>
          <w:rFonts w:ascii="Arial" w:hAnsi="Arial" w:cs="Arial"/>
          <w:lang w:val="es-ES_tradnl"/>
        </w:rPr>
        <w:t>ación</w:t>
      </w:r>
      <w:r w:rsidRPr="00F00404">
        <w:rPr>
          <w:rFonts w:ascii="Arial" w:hAnsi="Arial" w:cs="Arial"/>
          <w:lang w:val="es-ES_tradnl"/>
        </w:rPr>
        <w:t xml:space="preserve"> en la Corte de Apelaciones</w:t>
      </w:r>
      <w:r w:rsidR="00E70C99">
        <w:rPr>
          <w:rFonts w:ascii="Arial" w:hAnsi="Arial" w:cs="Arial"/>
          <w:lang w:val="es-ES_tradnl"/>
        </w:rPr>
        <w:t xml:space="preserve"> </w:t>
      </w:r>
      <w:r w:rsidR="00B140FD" w:rsidRPr="00F00404">
        <w:rPr>
          <w:rFonts w:ascii="Arial" w:hAnsi="Arial" w:cs="Arial"/>
          <w:lang w:val="es-ES_tradnl"/>
        </w:rPr>
        <w:t>—</w:t>
      </w:r>
      <w:r w:rsidR="003A5762" w:rsidRPr="00F00404">
        <w:rPr>
          <w:rFonts w:ascii="Arial" w:hAnsi="Arial" w:cs="Arial"/>
          <w:lang w:val="es-ES_tradnl"/>
        </w:rPr>
        <w:t xml:space="preserve"> </w:t>
      </w:r>
      <w:r w:rsidR="003A5762" w:rsidRPr="00F00404">
        <w:rPr>
          <w:rFonts w:ascii="Arial" w:hAnsi="Arial" w:cs="Arial"/>
          <w:b/>
          <w:lang w:val="es-ES_tradnl"/>
        </w:rPr>
        <w:t>desestimad</w:t>
      </w:r>
      <w:r w:rsidRPr="00F00404">
        <w:rPr>
          <w:rFonts w:ascii="Arial" w:hAnsi="Arial" w:cs="Arial"/>
          <w:b/>
          <w:lang w:val="es-ES_tradnl"/>
        </w:rPr>
        <w:t>o</w:t>
      </w:r>
      <w:r w:rsidR="00B140FD" w:rsidRPr="00F00404">
        <w:rPr>
          <w:rFonts w:ascii="Arial" w:hAnsi="Arial" w:cs="Arial"/>
          <w:lang w:val="es-ES_tradnl"/>
        </w:rPr>
        <w:t xml:space="preserve"> </w:t>
      </w:r>
      <w:r w:rsidR="003A5762" w:rsidRPr="00F00404">
        <w:rPr>
          <w:rFonts w:ascii="Arial" w:hAnsi="Arial" w:cs="Arial"/>
          <w:lang w:val="es-ES_tradnl"/>
        </w:rPr>
        <w:t>diciembre</w:t>
      </w:r>
      <w:r w:rsidR="00B140FD" w:rsidRPr="00F00404">
        <w:rPr>
          <w:rFonts w:ascii="Arial" w:hAnsi="Arial" w:cs="Arial"/>
          <w:lang w:val="es-ES_tradnl"/>
        </w:rPr>
        <w:t xml:space="preserve"> 2016</w:t>
      </w:r>
    </w:p>
    <w:p w14:paraId="6BAEE771" w14:textId="1DA08DF8" w:rsidR="00A80810" w:rsidRPr="00F00404" w:rsidRDefault="00BE21C5" w:rsidP="003A5762">
      <w:pPr>
        <w:spacing w:before="120" w:after="0" w:line="240" w:lineRule="auto"/>
        <w:ind w:left="567" w:right="1252"/>
        <w:jc w:val="both"/>
        <w:outlineLvl w:val="0"/>
        <w:rPr>
          <w:rFonts w:ascii="Arial" w:hAnsi="Arial" w:cs="Arial"/>
          <w:b/>
          <w:lang w:val="es-ES_tradnl"/>
        </w:rPr>
      </w:pPr>
      <w:r w:rsidRPr="00F00404">
        <w:rPr>
          <w:rFonts w:ascii="Arial" w:hAnsi="Arial" w:cs="Arial"/>
          <w:b/>
          <w:lang w:val="es-ES_tradnl"/>
        </w:rPr>
        <w:t>FRANCIA</w:t>
      </w:r>
    </w:p>
    <w:p w14:paraId="2FF1D8D5" w14:textId="13CCED8D" w:rsidR="00A80810" w:rsidRPr="00F00404" w:rsidRDefault="00916A28" w:rsidP="00916A28">
      <w:pPr>
        <w:pStyle w:val="ListParagraph"/>
        <w:spacing w:after="0" w:line="240" w:lineRule="auto"/>
        <w:ind w:left="567" w:right="1252"/>
        <w:contextualSpacing w:val="0"/>
        <w:jc w:val="both"/>
        <w:rPr>
          <w:rFonts w:ascii="Arial" w:hAnsi="Arial" w:cs="Arial"/>
          <w:lang w:val="es-ES_tradnl"/>
        </w:rPr>
      </w:pPr>
      <w:r w:rsidRPr="00F00404">
        <w:rPr>
          <w:rFonts w:ascii="Arial" w:hAnsi="Arial" w:cs="Arial"/>
          <w:lang w:val="es-ES_tradnl"/>
        </w:rPr>
        <w:t>Objeci</w:t>
      </w:r>
      <w:r w:rsidR="000E4DF2">
        <w:rPr>
          <w:rFonts w:ascii="Arial" w:hAnsi="Arial" w:cs="Arial"/>
          <w:lang w:val="es-ES_tradnl"/>
        </w:rPr>
        <w:t>ón en el Consejo Constitucional</w:t>
      </w:r>
      <w:r w:rsidR="00A80810" w:rsidRPr="00F00404">
        <w:rPr>
          <w:rStyle w:val="EndnoteReference"/>
          <w:rFonts w:ascii="Arial" w:hAnsi="Arial" w:cs="Arial"/>
          <w:lang w:val="es-ES_tradnl"/>
        </w:rPr>
        <w:endnoteReference w:id="4"/>
      </w:r>
      <w:r w:rsidR="00A80810" w:rsidRPr="00F00404">
        <w:rPr>
          <w:rFonts w:ascii="Arial" w:hAnsi="Arial" w:cs="Arial"/>
          <w:lang w:val="es-ES_tradnl"/>
        </w:rPr>
        <w:t xml:space="preserve"> </w:t>
      </w:r>
      <w:r w:rsidR="00C026C7" w:rsidRPr="00F00404">
        <w:rPr>
          <w:rFonts w:ascii="Arial" w:hAnsi="Arial" w:cs="Arial"/>
          <w:lang w:val="es-ES_tradnl"/>
        </w:rPr>
        <w:t>—</w:t>
      </w:r>
      <w:r w:rsidR="00A80810" w:rsidRPr="00F00404">
        <w:rPr>
          <w:rFonts w:ascii="Arial" w:hAnsi="Arial" w:cs="Arial"/>
          <w:lang w:val="es-ES_tradnl"/>
        </w:rPr>
        <w:t xml:space="preserve"> </w:t>
      </w:r>
      <w:r w:rsidRPr="00F00404">
        <w:rPr>
          <w:rFonts w:ascii="Arial" w:hAnsi="Arial" w:cs="Arial"/>
          <w:b/>
          <w:lang w:val="es-ES_tradnl"/>
        </w:rPr>
        <w:t>desestimado</w:t>
      </w:r>
      <w:r w:rsidR="00A80810" w:rsidRPr="00F00404">
        <w:rPr>
          <w:rFonts w:ascii="Arial" w:hAnsi="Arial" w:cs="Arial"/>
          <w:b/>
          <w:lang w:val="es-ES_tradnl"/>
        </w:rPr>
        <w:t xml:space="preserve"> </w:t>
      </w:r>
      <w:r w:rsidR="003A5762" w:rsidRPr="00F00404">
        <w:rPr>
          <w:rFonts w:ascii="Arial" w:hAnsi="Arial" w:cs="Arial"/>
          <w:lang w:val="es-ES_tradnl"/>
        </w:rPr>
        <w:t>enero</w:t>
      </w:r>
      <w:r w:rsidR="00A80810" w:rsidRPr="00F00404">
        <w:rPr>
          <w:rFonts w:ascii="Arial" w:hAnsi="Arial" w:cs="Arial"/>
          <w:lang w:val="es-ES_tradnl"/>
        </w:rPr>
        <w:t xml:space="preserve"> 2016</w:t>
      </w:r>
    </w:p>
    <w:p w14:paraId="6C1823BD" w14:textId="297A7327" w:rsidR="00A80810" w:rsidRPr="00F00404" w:rsidRDefault="00916A28" w:rsidP="00916A28">
      <w:pPr>
        <w:pStyle w:val="ListParagraph"/>
        <w:spacing w:after="0" w:line="240" w:lineRule="auto"/>
        <w:ind w:left="567" w:right="1252"/>
        <w:contextualSpacing w:val="0"/>
        <w:jc w:val="both"/>
        <w:rPr>
          <w:rFonts w:ascii="Arial" w:hAnsi="Arial" w:cs="Arial"/>
          <w:lang w:val="es-ES_tradnl"/>
        </w:rPr>
      </w:pPr>
      <w:r w:rsidRPr="00F00404">
        <w:rPr>
          <w:rFonts w:ascii="Arial" w:hAnsi="Arial" w:cs="Arial"/>
          <w:lang w:val="es-ES_tradnl"/>
        </w:rPr>
        <w:t>Seis obje</w:t>
      </w:r>
      <w:r w:rsidR="000E4DF2">
        <w:rPr>
          <w:rFonts w:ascii="Arial" w:hAnsi="Arial" w:cs="Arial"/>
          <w:lang w:val="es-ES_tradnl"/>
        </w:rPr>
        <w:t>ciones con el Consejo de Estado</w:t>
      </w:r>
      <w:r w:rsidR="00A80810" w:rsidRPr="00F00404">
        <w:rPr>
          <w:rStyle w:val="EndnoteReference"/>
          <w:rFonts w:ascii="Arial" w:hAnsi="Arial" w:cs="Arial"/>
          <w:lang w:val="es-ES_tradnl"/>
        </w:rPr>
        <w:endnoteReference w:id="5"/>
      </w:r>
      <w:r w:rsidR="00A80810" w:rsidRPr="00F00404">
        <w:rPr>
          <w:rFonts w:ascii="Arial" w:hAnsi="Arial" w:cs="Arial"/>
          <w:lang w:val="es-ES_tradnl"/>
        </w:rPr>
        <w:t xml:space="preserve"> </w:t>
      </w:r>
      <w:r w:rsidR="00C026C7" w:rsidRPr="00F00404">
        <w:rPr>
          <w:rFonts w:ascii="Arial" w:hAnsi="Arial" w:cs="Arial"/>
          <w:lang w:val="es-ES_tradnl"/>
        </w:rPr>
        <w:t>—</w:t>
      </w:r>
      <w:r w:rsidR="00A80810" w:rsidRPr="00F00404">
        <w:rPr>
          <w:rFonts w:ascii="Arial" w:hAnsi="Arial" w:cs="Arial"/>
          <w:lang w:val="es-ES_tradnl"/>
        </w:rPr>
        <w:t xml:space="preserve"> </w:t>
      </w:r>
      <w:r w:rsidR="003A5762" w:rsidRPr="00F00404">
        <w:rPr>
          <w:rFonts w:ascii="Arial" w:hAnsi="Arial" w:cs="Arial"/>
          <w:b/>
          <w:lang w:val="es-ES_tradnl"/>
        </w:rPr>
        <w:t>desestimad</w:t>
      </w:r>
      <w:r w:rsidRPr="00F00404">
        <w:rPr>
          <w:rFonts w:ascii="Arial" w:hAnsi="Arial" w:cs="Arial"/>
          <w:b/>
          <w:lang w:val="es-ES_tradnl"/>
        </w:rPr>
        <w:t>as</w:t>
      </w:r>
      <w:r w:rsidR="005D6A65" w:rsidRPr="00F00404">
        <w:rPr>
          <w:rFonts w:ascii="Arial" w:hAnsi="Arial" w:cs="Arial"/>
          <w:lang w:val="es-ES_tradnl"/>
        </w:rPr>
        <w:t xml:space="preserve"> </w:t>
      </w:r>
      <w:r w:rsidR="003A5762" w:rsidRPr="00F00404">
        <w:rPr>
          <w:rFonts w:ascii="Arial" w:hAnsi="Arial" w:cs="Arial"/>
          <w:lang w:val="es-ES_tradnl"/>
        </w:rPr>
        <w:t>diciembre</w:t>
      </w:r>
      <w:r w:rsidR="00A80810" w:rsidRPr="00F00404">
        <w:rPr>
          <w:rFonts w:ascii="Arial" w:hAnsi="Arial" w:cs="Arial"/>
          <w:lang w:val="es-ES_tradnl"/>
        </w:rPr>
        <w:t xml:space="preserve"> 2016</w:t>
      </w:r>
    </w:p>
    <w:p w14:paraId="75200AFC" w14:textId="64660BFB" w:rsidR="00A80810" w:rsidRPr="00F00404" w:rsidRDefault="00BE21C5" w:rsidP="003A5762">
      <w:pPr>
        <w:spacing w:before="120" w:after="0" w:line="240" w:lineRule="auto"/>
        <w:ind w:left="567" w:right="1252"/>
        <w:jc w:val="both"/>
        <w:outlineLvl w:val="0"/>
        <w:rPr>
          <w:rFonts w:ascii="Arial" w:hAnsi="Arial" w:cs="Arial"/>
          <w:b/>
          <w:lang w:val="es-ES_tradnl"/>
        </w:rPr>
      </w:pPr>
      <w:r w:rsidRPr="00F00404">
        <w:rPr>
          <w:rFonts w:ascii="Arial" w:hAnsi="Arial" w:cs="Arial"/>
          <w:b/>
          <w:lang w:val="es-ES_tradnl"/>
        </w:rPr>
        <w:t>IRLANDA</w:t>
      </w:r>
    </w:p>
    <w:p w14:paraId="6952532A" w14:textId="59A06B72" w:rsidR="00A80810" w:rsidRPr="00F00404" w:rsidRDefault="0021637F" w:rsidP="00916A28">
      <w:pPr>
        <w:spacing w:after="0" w:line="240" w:lineRule="auto"/>
        <w:ind w:left="567" w:right="1253"/>
        <w:jc w:val="both"/>
        <w:rPr>
          <w:rFonts w:ascii="Arial" w:hAnsi="Arial" w:cs="Arial"/>
          <w:lang w:val="es-ES_tradnl"/>
        </w:rPr>
      </w:pPr>
      <w:r>
        <w:rPr>
          <w:rFonts w:ascii="Arial" w:hAnsi="Arial" w:cs="Arial"/>
          <w:lang w:val="es-ES_tradnl"/>
        </w:rPr>
        <w:t>Impugnación</w:t>
      </w:r>
      <w:r w:rsidR="00916A28" w:rsidRPr="00F00404">
        <w:rPr>
          <w:rFonts w:ascii="Arial" w:hAnsi="Arial" w:cs="Arial"/>
          <w:lang w:val="es-ES_tradnl"/>
        </w:rPr>
        <w:t xml:space="preserve"> en el Tribunal Supremo</w:t>
      </w:r>
      <w:r w:rsidR="00A80810" w:rsidRPr="00F00404">
        <w:rPr>
          <w:rStyle w:val="EndnoteReference"/>
          <w:rFonts w:ascii="Arial" w:hAnsi="Arial" w:cs="Arial"/>
          <w:lang w:val="es-ES_tradnl"/>
        </w:rPr>
        <w:endnoteReference w:id="6"/>
      </w:r>
      <w:r w:rsidR="00A80810" w:rsidRPr="00F00404">
        <w:rPr>
          <w:rFonts w:ascii="Arial" w:hAnsi="Arial" w:cs="Arial"/>
          <w:lang w:val="es-ES_tradnl"/>
        </w:rPr>
        <w:t xml:space="preserve"> </w:t>
      </w:r>
      <w:r w:rsidR="00C026C7" w:rsidRPr="00F00404">
        <w:rPr>
          <w:rFonts w:ascii="Arial" w:hAnsi="Arial" w:cs="Arial"/>
          <w:lang w:val="es-ES_tradnl"/>
        </w:rPr>
        <w:t>—</w:t>
      </w:r>
      <w:r w:rsidR="00A80810" w:rsidRPr="00F00404">
        <w:rPr>
          <w:rFonts w:ascii="Arial" w:hAnsi="Arial" w:cs="Arial"/>
          <w:lang w:val="es-ES_tradnl"/>
        </w:rPr>
        <w:t xml:space="preserve"> </w:t>
      </w:r>
      <w:r w:rsidR="00F00404" w:rsidRPr="00F00404">
        <w:rPr>
          <w:rFonts w:ascii="Arial" w:hAnsi="Arial" w:cs="Arial"/>
          <w:b/>
          <w:lang w:val="es-ES_tradnl"/>
        </w:rPr>
        <w:t>rechazada</w:t>
      </w:r>
      <w:r w:rsidR="00A80810" w:rsidRPr="00F00404">
        <w:rPr>
          <w:rFonts w:ascii="Arial" w:hAnsi="Arial" w:cs="Arial"/>
          <w:lang w:val="es-ES_tradnl"/>
        </w:rPr>
        <w:t xml:space="preserve"> </w:t>
      </w:r>
      <w:r w:rsidR="003A5762" w:rsidRPr="00F00404">
        <w:rPr>
          <w:rFonts w:ascii="Arial" w:hAnsi="Arial" w:cs="Arial"/>
          <w:lang w:val="es-ES_tradnl"/>
        </w:rPr>
        <w:t>noviembre</w:t>
      </w:r>
      <w:r w:rsidR="00A80810" w:rsidRPr="00F00404">
        <w:rPr>
          <w:rFonts w:ascii="Arial" w:hAnsi="Arial" w:cs="Arial"/>
          <w:lang w:val="es-ES_tradnl"/>
        </w:rPr>
        <w:t xml:space="preserve"> 2016</w:t>
      </w:r>
    </w:p>
    <w:p w14:paraId="164D6893" w14:textId="3E294B99" w:rsidR="00A80810" w:rsidRPr="00F00404" w:rsidRDefault="00BE21C5" w:rsidP="003A5762">
      <w:pPr>
        <w:spacing w:before="120" w:after="0" w:line="240" w:lineRule="auto"/>
        <w:ind w:left="567" w:right="1253"/>
        <w:jc w:val="both"/>
        <w:outlineLvl w:val="0"/>
        <w:rPr>
          <w:rFonts w:ascii="Arial" w:hAnsi="Arial" w:cs="Arial"/>
          <w:b/>
          <w:lang w:val="es-ES_tradnl"/>
        </w:rPr>
      </w:pPr>
      <w:r w:rsidRPr="00F00404">
        <w:rPr>
          <w:rFonts w:ascii="Arial" w:hAnsi="Arial" w:cs="Arial"/>
          <w:b/>
          <w:lang w:val="es-ES_tradnl"/>
        </w:rPr>
        <w:t>UNIÓN EUROPEA</w:t>
      </w:r>
    </w:p>
    <w:p w14:paraId="32B17B9C" w14:textId="7A46CACE" w:rsidR="00A80810" w:rsidRPr="00501AF4" w:rsidRDefault="0021637F" w:rsidP="00916A28">
      <w:pPr>
        <w:spacing w:after="0" w:line="240" w:lineRule="auto"/>
        <w:ind w:left="567" w:right="1252"/>
        <w:jc w:val="both"/>
        <w:outlineLvl w:val="0"/>
        <w:rPr>
          <w:lang w:val="fr-FR"/>
        </w:rPr>
      </w:pPr>
      <w:r>
        <w:rPr>
          <w:rFonts w:ascii="Arial" w:hAnsi="Arial" w:cs="Arial"/>
          <w:lang w:val="es-ES_tradnl"/>
        </w:rPr>
        <w:t>Impugnación de</w:t>
      </w:r>
      <w:r w:rsidR="00916A28" w:rsidRPr="00F00404">
        <w:rPr>
          <w:rFonts w:ascii="Arial" w:hAnsi="Arial" w:cs="Arial"/>
          <w:lang w:val="es-ES_tradnl"/>
        </w:rPr>
        <w:t xml:space="preserve"> la Directiva de la UE sobre Productos del Tabaco en el Tribunal de Justicia de la Unión Europea</w:t>
      </w:r>
      <w:r w:rsidR="00A80810" w:rsidRPr="00F00404">
        <w:rPr>
          <w:rStyle w:val="EndnoteReference"/>
          <w:rFonts w:ascii="Arial" w:hAnsi="Arial" w:cs="Arial"/>
          <w:lang w:val="es-ES_tradnl"/>
        </w:rPr>
        <w:endnoteReference w:id="7"/>
      </w:r>
      <w:r w:rsidR="00A80810" w:rsidRPr="00F00404">
        <w:rPr>
          <w:rFonts w:ascii="Arial" w:hAnsi="Arial" w:cs="Arial"/>
          <w:lang w:val="es-ES_tradnl"/>
        </w:rPr>
        <w:t xml:space="preserve"> </w:t>
      </w:r>
      <w:r w:rsidR="00E70C99">
        <w:rPr>
          <w:rFonts w:ascii="Arial" w:hAnsi="Arial" w:cs="Arial"/>
          <w:lang w:val="es-ES_tradnl"/>
        </w:rPr>
        <w:tab/>
      </w:r>
      <w:r w:rsidR="00C026C7" w:rsidRPr="00F00404">
        <w:rPr>
          <w:rFonts w:ascii="Arial" w:hAnsi="Arial" w:cs="Arial"/>
          <w:lang w:val="es-ES_tradnl"/>
        </w:rPr>
        <w:t>—</w:t>
      </w:r>
      <w:r w:rsidR="00A80810" w:rsidRPr="00F00404">
        <w:rPr>
          <w:rFonts w:ascii="Arial" w:hAnsi="Arial" w:cs="Arial"/>
          <w:lang w:val="es-ES_tradnl"/>
        </w:rPr>
        <w:t xml:space="preserve"> </w:t>
      </w:r>
      <w:r w:rsidR="003A5762" w:rsidRPr="00F00404">
        <w:rPr>
          <w:rFonts w:ascii="Arial" w:hAnsi="Arial" w:cs="Arial"/>
          <w:b/>
          <w:lang w:val="es-ES_tradnl"/>
        </w:rPr>
        <w:t>desestimada</w:t>
      </w:r>
      <w:r w:rsidR="00A80810" w:rsidRPr="00F00404">
        <w:rPr>
          <w:rFonts w:ascii="Arial" w:hAnsi="Arial" w:cs="Arial"/>
          <w:lang w:val="es-ES_tradnl"/>
        </w:rPr>
        <w:t xml:space="preserve"> </w:t>
      </w:r>
      <w:r w:rsidR="003A5762" w:rsidRPr="00F00404">
        <w:rPr>
          <w:rFonts w:ascii="Arial" w:hAnsi="Arial" w:cs="Arial"/>
          <w:lang w:val="es-ES_tradnl"/>
        </w:rPr>
        <w:t>mayo</w:t>
      </w:r>
      <w:r w:rsidR="00A80810" w:rsidRPr="00F00404">
        <w:rPr>
          <w:rFonts w:ascii="Arial" w:hAnsi="Arial" w:cs="Arial"/>
          <w:lang w:val="es-ES_tradnl"/>
        </w:rPr>
        <w:t xml:space="preserve"> 2016</w:t>
      </w:r>
    </w:p>
    <w:p w14:paraId="5DDFEFF4" w14:textId="06BBEB8C" w:rsidR="00A80810" w:rsidRPr="00F00404" w:rsidRDefault="00BE21C5" w:rsidP="003A5762">
      <w:pPr>
        <w:spacing w:before="120" w:after="0" w:line="240" w:lineRule="auto"/>
        <w:ind w:left="567" w:right="2529"/>
        <w:outlineLvl w:val="0"/>
        <w:rPr>
          <w:rFonts w:ascii="Arial" w:hAnsi="Arial" w:cs="Arial"/>
          <w:b/>
          <w:lang w:val="es-ES_tradnl"/>
        </w:rPr>
      </w:pPr>
      <w:r w:rsidRPr="00F00404">
        <w:rPr>
          <w:rFonts w:ascii="Arial" w:hAnsi="Arial" w:cs="Arial"/>
          <w:b/>
          <w:lang w:val="es-ES_tradnl"/>
        </w:rPr>
        <w:t>NORUEGA</w:t>
      </w:r>
    </w:p>
    <w:p w14:paraId="008E6FCF" w14:textId="08DF2B3D" w:rsidR="0079461E" w:rsidRPr="00501AF4" w:rsidRDefault="00F00404" w:rsidP="00916A28">
      <w:pPr>
        <w:spacing w:after="0" w:line="240" w:lineRule="auto"/>
        <w:ind w:left="567" w:right="2529"/>
        <w:outlineLvl w:val="0"/>
        <w:rPr>
          <w:lang w:val="fr-FR"/>
        </w:rPr>
      </w:pPr>
      <w:r w:rsidRPr="00F00404">
        <w:rPr>
          <w:rFonts w:ascii="Arial" w:hAnsi="Arial" w:cs="Arial"/>
          <w:lang w:val="es-ES_tradnl"/>
        </w:rPr>
        <w:t>Solicitud</w:t>
      </w:r>
      <w:r w:rsidR="00916A28" w:rsidRPr="00F00404">
        <w:rPr>
          <w:rFonts w:ascii="Arial" w:hAnsi="Arial" w:cs="Arial"/>
          <w:lang w:val="es-ES_tradnl"/>
        </w:rPr>
        <w:t xml:space="preserve"> de </w:t>
      </w:r>
      <w:r w:rsidR="0021637F">
        <w:rPr>
          <w:rFonts w:ascii="Arial" w:hAnsi="Arial" w:cs="Arial"/>
          <w:lang w:val="es-ES_tradnl"/>
        </w:rPr>
        <w:t>interdicto</w:t>
      </w:r>
      <w:r w:rsidR="00916A28" w:rsidRPr="00F00404">
        <w:rPr>
          <w:rFonts w:ascii="Arial" w:hAnsi="Arial" w:cs="Arial"/>
          <w:lang w:val="es-ES_tradnl"/>
        </w:rPr>
        <w:t xml:space="preserve"> para </w:t>
      </w:r>
      <w:r w:rsidR="0021637F">
        <w:rPr>
          <w:rFonts w:ascii="Arial" w:hAnsi="Arial" w:cs="Arial"/>
          <w:lang w:val="es-ES_tradnl"/>
        </w:rPr>
        <w:t xml:space="preserve">retrasar la introducción del </w:t>
      </w:r>
      <w:r w:rsidR="00916A28" w:rsidRPr="00F00404">
        <w:rPr>
          <w:rFonts w:ascii="Arial" w:hAnsi="Arial" w:cs="Arial"/>
          <w:lang w:val="es-ES_tradnl"/>
        </w:rPr>
        <w:t xml:space="preserve">empaquetado neutro </w:t>
      </w:r>
      <w:r w:rsidRPr="00F00404">
        <w:rPr>
          <w:rFonts w:ascii="Arial" w:hAnsi="Arial" w:cs="Arial"/>
          <w:lang w:val="es-ES_tradnl"/>
        </w:rPr>
        <w:t>para el</w:t>
      </w:r>
      <w:r w:rsidR="00916A28" w:rsidRPr="00F00404">
        <w:rPr>
          <w:rFonts w:ascii="Arial" w:hAnsi="Arial" w:cs="Arial"/>
          <w:lang w:val="es-ES_tradnl"/>
        </w:rPr>
        <w:t xml:space="preserve"> tabaco </w:t>
      </w:r>
      <w:proofErr w:type="spellStart"/>
      <w:r w:rsidR="00916A28" w:rsidRPr="00981293">
        <w:rPr>
          <w:rFonts w:ascii="Arial" w:hAnsi="Arial" w:cs="Arial"/>
          <w:lang w:val="es-ES_tradnl"/>
        </w:rPr>
        <w:t>snu</w:t>
      </w:r>
      <w:proofErr w:type="spellEnd"/>
      <w:r w:rsidR="00916A28" w:rsidRPr="00981293">
        <w:rPr>
          <w:rFonts w:ascii="Arial" w:hAnsi="Arial" w:cs="Arial"/>
          <w:lang w:val="fr-FR"/>
        </w:rPr>
        <w:t>s</w:t>
      </w:r>
      <w:r w:rsidR="0079461E" w:rsidRPr="00F00404">
        <w:rPr>
          <w:rStyle w:val="EndnoteReference"/>
          <w:rFonts w:ascii="Arial" w:hAnsi="Arial" w:cs="Arial"/>
          <w:lang w:val="es-ES_tradnl"/>
        </w:rPr>
        <w:endnoteReference w:id="8"/>
      </w:r>
      <w:r w:rsidR="00E70C99">
        <w:rPr>
          <w:rFonts w:ascii="Arial" w:hAnsi="Arial" w:cs="Arial"/>
          <w:lang w:val="es-ES_tradnl"/>
        </w:rPr>
        <w:t xml:space="preserve"> </w:t>
      </w:r>
      <w:r w:rsidR="0079461E" w:rsidRPr="00043797">
        <w:rPr>
          <w:rFonts w:ascii="Arial" w:hAnsi="Arial" w:cs="Arial"/>
          <w:lang w:val="es-ES_tradnl"/>
        </w:rPr>
        <w:t>—</w:t>
      </w:r>
      <w:r w:rsidR="00E70C99">
        <w:rPr>
          <w:rFonts w:ascii="Arial" w:hAnsi="Arial" w:cs="Arial"/>
          <w:lang w:val="es-ES_tradnl"/>
        </w:rPr>
        <w:t xml:space="preserve"> </w:t>
      </w:r>
      <w:r w:rsidR="003A5762">
        <w:rPr>
          <w:rFonts w:ascii="Arial" w:hAnsi="Arial" w:cs="Arial"/>
          <w:b/>
          <w:lang w:val="es-ES_tradnl"/>
        </w:rPr>
        <w:t>desestimada</w:t>
      </w:r>
      <w:r w:rsidR="0079461E" w:rsidRPr="00043797">
        <w:rPr>
          <w:rFonts w:ascii="Arial" w:hAnsi="Arial" w:cs="Arial"/>
          <w:lang w:val="es-ES_tradnl"/>
        </w:rPr>
        <w:t xml:space="preserve"> </w:t>
      </w:r>
      <w:r w:rsidR="003A5762">
        <w:rPr>
          <w:rFonts w:ascii="Arial" w:hAnsi="Arial" w:cs="Arial"/>
          <w:lang w:val="es-ES_tradnl"/>
        </w:rPr>
        <w:t>noviembre</w:t>
      </w:r>
      <w:r w:rsidR="0079461E" w:rsidRPr="00043797">
        <w:rPr>
          <w:rFonts w:ascii="Arial" w:hAnsi="Arial" w:cs="Arial"/>
          <w:lang w:val="es-ES_tradnl"/>
        </w:rPr>
        <w:t xml:space="preserve"> 2017</w:t>
      </w:r>
    </w:p>
    <w:p w14:paraId="255FEC60" w14:textId="77777777" w:rsidR="0079461E" w:rsidRPr="00043797" w:rsidRDefault="0079461E" w:rsidP="00B140FD">
      <w:pPr>
        <w:spacing w:after="120" w:line="240" w:lineRule="auto"/>
        <w:ind w:left="567" w:right="2528"/>
        <w:rPr>
          <w:rFonts w:ascii="Arial" w:hAnsi="Arial" w:cs="Arial"/>
          <w:lang w:val="es-ES_tradnl"/>
        </w:rPr>
        <w:sectPr w:rsidR="0079461E" w:rsidRPr="00043797" w:rsidSect="00530F53">
          <w:endnotePr>
            <w:numFmt w:val="decimal"/>
          </w:endnotePr>
          <w:type w:val="continuous"/>
          <w:pgSz w:w="11906" w:h="16838"/>
          <w:pgMar w:top="720" w:right="720" w:bottom="720" w:left="720" w:header="708" w:footer="708" w:gutter="0"/>
          <w:cols w:space="3120"/>
          <w:docGrid w:linePitch="360"/>
        </w:sectPr>
      </w:pPr>
    </w:p>
    <w:p w14:paraId="73054D23" w14:textId="77777777" w:rsidR="003441FD" w:rsidRPr="00043797" w:rsidRDefault="003441FD" w:rsidP="00B140FD">
      <w:pPr>
        <w:spacing w:after="0" w:line="240" w:lineRule="auto"/>
        <w:ind w:left="567" w:right="2528"/>
        <w:rPr>
          <w:lang w:val="es-ES_tradnl"/>
        </w:rPr>
        <w:sectPr w:rsidR="003441FD" w:rsidRPr="00043797" w:rsidSect="003441FD">
          <w:endnotePr>
            <w:numFmt w:val="decimal"/>
          </w:endnotePr>
          <w:type w:val="continuous"/>
          <w:pgSz w:w="11906" w:h="16838"/>
          <w:pgMar w:top="720" w:right="720" w:bottom="851" w:left="720" w:header="708" w:footer="708" w:gutter="0"/>
          <w:cols w:num="2" w:space="568"/>
          <w:docGrid w:linePitch="360"/>
        </w:sectPr>
      </w:pPr>
    </w:p>
    <w:p w14:paraId="7620755E" w14:textId="50E65808" w:rsidR="001709BE" w:rsidRDefault="001709BE" w:rsidP="0079461E">
      <w:pPr>
        <w:spacing w:before="120" w:after="120" w:line="240" w:lineRule="auto"/>
        <w:ind w:left="567" w:right="2529"/>
        <w:rPr>
          <w:rFonts w:ascii="Arial" w:hAnsi="Arial" w:cs="Arial"/>
          <w:b/>
          <w:color w:val="666633"/>
          <w:sz w:val="32"/>
          <w:szCs w:val="36"/>
          <w:lang w:val="es-ES_tradnl"/>
        </w:rPr>
      </w:pPr>
    </w:p>
    <w:p w14:paraId="2D6D2E54" w14:textId="4D925E13" w:rsidR="003441FD" w:rsidRPr="00043797" w:rsidRDefault="001709BE" w:rsidP="001709BE">
      <w:pPr>
        <w:spacing w:before="120" w:after="120" w:line="240" w:lineRule="auto"/>
        <w:ind w:left="567" w:right="2529"/>
        <w:rPr>
          <w:rFonts w:ascii="Arial" w:hAnsi="Arial" w:cs="Arial"/>
          <w:b/>
          <w:color w:val="666633"/>
          <w:sz w:val="32"/>
          <w:szCs w:val="36"/>
          <w:lang w:val="es-ES_tradnl"/>
        </w:rPr>
      </w:pPr>
      <w:r>
        <w:rPr>
          <w:b/>
          <w:noProof/>
          <w:sz w:val="20"/>
          <w:lang w:val="en-US"/>
        </w:rPr>
        <w:lastRenderedPageBreak/>
        <w:drawing>
          <wp:anchor distT="0" distB="0" distL="114300" distR="114300" simplePos="0" relativeHeight="251665408" behindDoc="0" locked="0" layoutInCell="1" allowOverlap="1" wp14:anchorId="0ADD6A95" wp14:editId="5D169C0F">
            <wp:simplePos x="0" y="0"/>
            <wp:positionH relativeFrom="column">
              <wp:posOffset>5321935</wp:posOffset>
            </wp:positionH>
            <wp:positionV relativeFrom="paragraph">
              <wp:posOffset>204946</wp:posOffset>
            </wp:positionV>
            <wp:extent cx="1132205" cy="1511300"/>
            <wp:effectExtent l="0" t="0" r="10795" b="12700"/>
            <wp:wrapNone/>
            <wp:docPr id="4" name="Imagen 4" descr="VisuelGaul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elGauloi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1511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666633"/>
          <w:sz w:val="32"/>
          <w:szCs w:val="36"/>
          <w:lang w:val="es-ES_tradnl"/>
        </w:rPr>
        <w:t>¿</w:t>
      </w:r>
      <w:r w:rsidR="00F00404">
        <w:rPr>
          <w:rFonts w:ascii="Arial" w:hAnsi="Arial" w:cs="Arial"/>
          <w:b/>
          <w:color w:val="666633"/>
          <w:sz w:val="32"/>
          <w:szCs w:val="36"/>
          <w:lang w:val="es-ES_tradnl"/>
        </w:rPr>
        <w:t>Intentarán las empresas</w:t>
      </w:r>
      <w:r>
        <w:rPr>
          <w:rFonts w:ascii="Arial" w:hAnsi="Arial" w:cs="Arial"/>
          <w:b/>
          <w:color w:val="666633"/>
          <w:sz w:val="32"/>
          <w:szCs w:val="36"/>
          <w:lang w:val="es-ES_tradnl"/>
        </w:rPr>
        <w:t xml:space="preserve"> tabacaleras demandar a cada gobierno que introduzca el empaquetado neutro?</w:t>
      </w:r>
    </w:p>
    <w:p w14:paraId="509714AC" w14:textId="77777777" w:rsidR="003441FD" w:rsidRPr="00043797" w:rsidRDefault="003441FD" w:rsidP="00B140FD">
      <w:pPr>
        <w:pStyle w:val="ListParagraph"/>
        <w:numPr>
          <w:ilvl w:val="0"/>
          <w:numId w:val="3"/>
        </w:numPr>
        <w:spacing w:after="80"/>
        <w:ind w:left="567" w:right="2528" w:firstLine="0"/>
        <w:contextualSpacing w:val="0"/>
        <w:rPr>
          <w:rFonts w:ascii="Arial" w:hAnsi="Arial" w:cs="Arial"/>
          <w:sz w:val="21"/>
          <w:szCs w:val="21"/>
          <w:lang w:val="es-ES_tradnl"/>
        </w:rPr>
        <w:sectPr w:rsidR="003441FD" w:rsidRPr="00043797" w:rsidSect="00B140FD">
          <w:endnotePr>
            <w:numFmt w:val="decimal"/>
          </w:endnotePr>
          <w:type w:val="continuous"/>
          <w:pgSz w:w="11906" w:h="16838"/>
          <w:pgMar w:top="720" w:right="720" w:bottom="1276" w:left="720" w:header="708" w:footer="708" w:gutter="0"/>
          <w:cols w:space="708"/>
          <w:docGrid w:linePitch="360"/>
        </w:sectPr>
      </w:pPr>
    </w:p>
    <w:p w14:paraId="3B277C4D" w14:textId="3ABDB3D8" w:rsidR="00916A28" w:rsidRDefault="00916A28" w:rsidP="00916A28">
      <w:pPr>
        <w:spacing w:after="120"/>
        <w:ind w:left="567" w:right="2529"/>
        <w:jc w:val="both"/>
        <w:rPr>
          <w:rFonts w:ascii="Arial" w:hAnsi="Arial" w:cs="Arial"/>
          <w:lang w:val="es-ES_tradnl"/>
        </w:rPr>
      </w:pPr>
      <w:r w:rsidRPr="00916A28">
        <w:rPr>
          <w:rFonts w:ascii="Arial" w:hAnsi="Arial" w:cs="Arial"/>
          <w:lang w:val="es-ES"/>
        </w:rPr>
        <w:lastRenderedPageBreak/>
        <w:t xml:space="preserve">El litigio y la amenaza de una demanda judicial </w:t>
      </w:r>
      <w:r>
        <w:rPr>
          <w:rFonts w:ascii="Arial" w:hAnsi="Arial" w:cs="Arial"/>
          <w:lang w:val="es-ES"/>
        </w:rPr>
        <w:t>son</w:t>
      </w:r>
      <w:r w:rsidRPr="00916A28">
        <w:rPr>
          <w:rFonts w:ascii="Arial" w:hAnsi="Arial" w:cs="Arial"/>
          <w:lang w:val="es-ES"/>
        </w:rPr>
        <w:t xml:space="preserve"> </w:t>
      </w:r>
      <w:r>
        <w:rPr>
          <w:rFonts w:ascii="Arial" w:hAnsi="Arial" w:cs="Arial"/>
          <w:lang w:val="es-ES"/>
        </w:rPr>
        <w:t>algunas</w:t>
      </w:r>
      <w:r w:rsidRPr="00916A28">
        <w:rPr>
          <w:rFonts w:ascii="Arial" w:hAnsi="Arial" w:cs="Arial"/>
          <w:lang w:val="es-ES"/>
        </w:rPr>
        <w:t xml:space="preserve"> de las estrategias utilizadas por la industria tabacalera para intentar retrasar o </w:t>
      </w:r>
      <w:r w:rsidR="00F00404">
        <w:rPr>
          <w:rFonts w:ascii="Arial" w:hAnsi="Arial" w:cs="Arial"/>
          <w:lang w:val="es-ES"/>
        </w:rPr>
        <w:t>impedir</w:t>
      </w:r>
      <w:r w:rsidRPr="00916A28">
        <w:rPr>
          <w:rFonts w:ascii="Arial" w:hAnsi="Arial" w:cs="Arial"/>
          <w:lang w:val="es-ES"/>
        </w:rPr>
        <w:t xml:space="preserve"> que los gobiernos introduzcan políticas efectivas de control del tabaco. Pero cada país tiene un sistema legal diferente, y no todos los gobiernos que introdujeron el empaquetado </w:t>
      </w:r>
      <w:r>
        <w:rPr>
          <w:rFonts w:ascii="Arial" w:hAnsi="Arial" w:cs="Arial"/>
          <w:lang w:val="es-ES"/>
        </w:rPr>
        <w:t>neutro</w:t>
      </w:r>
      <w:r w:rsidRPr="00916A28">
        <w:rPr>
          <w:rFonts w:ascii="Arial" w:hAnsi="Arial" w:cs="Arial"/>
          <w:lang w:val="es-ES"/>
        </w:rPr>
        <w:t xml:space="preserve"> </w:t>
      </w:r>
      <w:r>
        <w:rPr>
          <w:rFonts w:ascii="Arial" w:hAnsi="Arial" w:cs="Arial"/>
          <w:lang w:val="es-ES"/>
        </w:rPr>
        <w:t xml:space="preserve">se han </w:t>
      </w:r>
      <w:r w:rsidRPr="00916A28">
        <w:rPr>
          <w:rFonts w:ascii="Arial" w:hAnsi="Arial" w:cs="Arial"/>
          <w:lang w:val="es-ES"/>
        </w:rPr>
        <w:t>enfrenta</w:t>
      </w:r>
      <w:r>
        <w:rPr>
          <w:rFonts w:ascii="Arial" w:hAnsi="Arial" w:cs="Arial"/>
          <w:lang w:val="es-ES"/>
        </w:rPr>
        <w:t>do</w:t>
      </w:r>
      <w:r w:rsidRPr="00916A28">
        <w:rPr>
          <w:rFonts w:ascii="Arial" w:hAnsi="Arial" w:cs="Arial"/>
          <w:lang w:val="es-ES"/>
        </w:rPr>
        <w:t xml:space="preserve"> </w:t>
      </w:r>
      <w:r>
        <w:rPr>
          <w:rFonts w:ascii="Arial" w:hAnsi="Arial" w:cs="Arial"/>
          <w:lang w:val="es-ES"/>
        </w:rPr>
        <w:t xml:space="preserve">a </w:t>
      </w:r>
      <w:r w:rsidR="00F00404">
        <w:rPr>
          <w:rFonts w:ascii="Arial" w:hAnsi="Arial" w:cs="Arial"/>
          <w:lang w:val="es-ES"/>
        </w:rPr>
        <w:t>impugnaciones legales</w:t>
      </w:r>
      <w:r w:rsidRPr="00916A28">
        <w:rPr>
          <w:rFonts w:ascii="Arial" w:hAnsi="Arial" w:cs="Arial"/>
          <w:lang w:val="es-ES"/>
        </w:rPr>
        <w:t>.</w:t>
      </w:r>
    </w:p>
    <w:p w14:paraId="3017419F" w14:textId="77777777" w:rsidR="00916A28" w:rsidRDefault="00916A28" w:rsidP="00916A28">
      <w:pPr>
        <w:spacing w:after="120"/>
        <w:ind w:left="567" w:right="2529"/>
        <w:jc w:val="both"/>
        <w:rPr>
          <w:rFonts w:ascii="Arial" w:hAnsi="Arial" w:cs="Arial"/>
          <w:lang w:val="es-ES_tradnl"/>
        </w:rPr>
      </w:pPr>
      <w:r w:rsidRPr="00916A28">
        <w:rPr>
          <w:rFonts w:ascii="Arial" w:hAnsi="Arial" w:cs="Arial"/>
          <w:lang w:val="es-ES"/>
        </w:rPr>
        <w:t xml:space="preserve">Hungría, Eslovenia y Nueva Zelanda han adoptado leyes de empaquetado </w:t>
      </w:r>
      <w:r>
        <w:rPr>
          <w:rFonts w:ascii="Arial" w:hAnsi="Arial" w:cs="Arial"/>
          <w:lang w:val="es-ES"/>
        </w:rPr>
        <w:t>neutro</w:t>
      </w:r>
      <w:r w:rsidRPr="00916A28">
        <w:rPr>
          <w:rFonts w:ascii="Arial" w:hAnsi="Arial" w:cs="Arial"/>
          <w:lang w:val="es-ES"/>
        </w:rPr>
        <w:t>, pero ha</w:t>
      </w:r>
      <w:r>
        <w:rPr>
          <w:rFonts w:ascii="Arial" w:hAnsi="Arial" w:cs="Arial"/>
          <w:lang w:val="es-ES"/>
        </w:rPr>
        <w:t>sta la fecha no ha habido ninguna objeción</w:t>
      </w:r>
      <w:r w:rsidRPr="00916A28">
        <w:rPr>
          <w:rFonts w:ascii="Arial" w:hAnsi="Arial" w:cs="Arial"/>
          <w:lang w:val="es-ES"/>
        </w:rPr>
        <w:t xml:space="preserve"> legal en esos países.</w:t>
      </w:r>
    </w:p>
    <w:p w14:paraId="55BF2386" w14:textId="68F0D080" w:rsidR="003441FD" w:rsidRPr="00043797" w:rsidRDefault="00916A28" w:rsidP="00916A28">
      <w:pPr>
        <w:spacing w:after="120"/>
        <w:ind w:left="567" w:right="2529"/>
        <w:jc w:val="both"/>
        <w:rPr>
          <w:rFonts w:ascii="Arial" w:hAnsi="Arial" w:cs="Arial"/>
          <w:lang w:val="es-ES_tradnl"/>
        </w:rPr>
      </w:pPr>
      <w:r w:rsidRPr="00916A28">
        <w:rPr>
          <w:rFonts w:ascii="Arial" w:hAnsi="Arial" w:cs="Arial"/>
          <w:lang w:val="es-ES"/>
        </w:rPr>
        <w:t xml:space="preserve">La industria del tabaco continúa afirmando </w:t>
      </w:r>
      <w:r>
        <w:rPr>
          <w:rFonts w:ascii="Arial" w:hAnsi="Arial" w:cs="Arial"/>
          <w:lang w:val="es-ES"/>
        </w:rPr>
        <w:t>de forma agresiva</w:t>
      </w:r>
      <w:r w:rsidRPr="00916A28">
        <w:rPr>
          <w:rFonts w:ascii="Arial" w:hAnsi="Arial" w:cs="Arial"/>
          <w:lang w:val="es-ES"/>
        </w:rPr>
        <w:t xml:space="preserve"> que el empaquetado </w:t>
      </w:r>
      <w:r>
        <w:rPr>
          <w:rFonts w:ascii="Arial" w:hAnsi="Arial" w:cs="Arial"/>
          <w:lang w:val="es-ES"/>
        </w:rPr>
        <w:t>neutro</w:t>
      </w:r>
      <w:r w:rsidRPr="00916A28">
        <w:rPr>
          <w:rFonts w:ascii="Arial" w:hAnsi="Arial" w:cs="Arial"/>
          <w:lang w:val="es-ES"/>
        </w:rPr>
        <w:t xml:space="preserve"> es ilegal en los países </w:t>
      </w:r>
      <w:r w:rsidRPr="00F00404">
        <w:rPr>
          <w:rFonts w:ascii="Arial" w:hAnsi="Arial" w:cs="Arial"/>
          <w:lang w:val="es-ES"/>
        </w:rPr>
        <w:t xml:space="preserve">que </w:t>
      </w:r>
      <w:r w:rsidR="00F00404">
        <w:rPr>
          <w:rFonts w:ascii="Arial" w:hAnsi="Arial" w:cs="Arial"/>
          <w:lang w:val="es-ES"/>
        </w:rPr>
        <w:t>evalúan</w:t>
      </w:r>
      <w:r w:rsidRPr="00F00404">
        <w:rPr>
          <w:rFonts w:ascii="Arial" w:hAnsi="Arial" w:cs="Arial"/>
          <w:lang w:val="es-ES"/>
        </w:rPr>
        <w:t xml:space="preserve"> la política</w:t>
      </w:r>
      <w:r w:rsidRPr="00916A28">
        <w:rPr>
          <w:rFonts w:ascii="Arial" w:hAnsi="Arial" w:cs="Arial"/>
          <w:lang w:val="es-ES"/>
        </w:rPr>
        <w:t>, a pesar de</w:t>
      </w:r>
      <w:r>
        <w:rPr>
          <w:rFonts w:ascii="Arial" w:hAnsi="Arial" w:cs="Arial"/>
          <w:lang w:val="es-ES"/>
        </w:rPr>
        <w:t xml:space="preserve"> que hasta ahora todas las </w:t>
      </w:r>
      <w:r w:rsidR="00F00404">
        <w:rPr>
          <w:rFonts w:ascii="Arial" w:hAnsi="Arial" w:cs="Arial"/>
          <w:lang w:val="es-ES"/>
        </w:rPr>
        <w:t xml:space="preserve">demandas </w:t>
      </w:r>
      <w:r w:rsidRPr="00916A28">
        <w:rPr>
          <w:rFonts w:ascii="Arial" w:hAnsi="Arial" w:cs="Arial"/>
          <w:lang w:val="es-ES"/>
        </w:rPr>
        <w:t xml:space="preserve">legales </w:t>
      </w:r>
      <w:r>
        <w:rPr>
          <w:rFonts w:ascii="Arial" w:hAnsi="Arial" w:cs="Arial"/>
          <w:lang w:val="es-ES"/>
        </w:rPr>
        <w:t>de la industria han sido vencida</w:t>
      </w:r>
      <w:r w:rsidRPr="00916A28">
        <w:rPr>
          <w:rFonts w:ascii="Arial" w:hAnsi="Arial" w:cs="Arial"/>
          <w:lang w:val="es-ES"/>
        </w:rPr>
        <w:t xml:space="preserve">s. </w:t>
      </w:r>
      <w:r w:rsidR="00F00404">
        <w:rPr>
          <w:rFonts w:ascii="Arial" w:hAnsi="Arial" w:cs="Arial"/>
          <w:lang w:val="es-ES"/>
        </w:rPr>
        <w:t>Por consiguiente, l</w:t>
      </w:r>
      <w:r w:rsidRPr="00916A28">
        <w:rPr>
          <w:rFonts w:ascii="Arial" w:hAnsi="Arial" w:cs="Arial"/>
          <w:lang w:val="es-ES"/>
        </w:rPr>
        <w:t>os gobiernos deberían estar preparados.</w:t>
      </w:r>
    </w:p>
    <w:p w14:paraId="53E592AE" w14:textId="141582E7" w:rsidR="003441FD" w:rsidRPr="00043797" w:rsidRDefault="001709BE" w:rsidP="001709BE">
      <w:pPr>
        <w:tabs>
          <w:tab w:val="left" w:pos="567"/>
        </w:tabs>
        <w:spacing w:before="480" w:after="120"/>
        <w:ind w:left="567" w:right="1819"/>
        <w:rPr>
          <w:rFonts w:ascii="Arial" w:hAnsi="Arial" w:cs="Arial"/>
          <w:b/>
          <w:color w:val="666633"/>
          <w:sz w:val="32"/>
          <w:szCs w:val="36"/>
          <w:lang w:val="es-ES_tradnl"/>
        </w:rPr>
      </w:pPr>
      <w:r>
        <w:rPr>
          <w:rFonts w:ascii="Arial" w:hAnsi="Arial" w:cs="Arial"/>
          <w:b/>
          <w:color w:val="666633"/>
          <w:sz w:val="32"/>
          <w:szCs w:val="36"/>
          <w:lang w:val="es-ES_tradnl"/>
        </w:rPr>
        <w:t>¿Viola el empaquetado neutro de los productos de tabaco las leyes de propiedad intelectual?</w:t>
      </w:r>
    </w:p>
    <w:p w14:paraId="2938FE05" w14:textId="77777777" w:rsidR="003441FD" w:rsidRPr="00043797" w:rsidRDefault="003441FD" w:rsidP="00F608C9">
      <w:pPr>
        <w:pStyle w:val="ListParagraph"/>
        <w:numPr>
          <w:ilvl w:val="0"/>
          <w:numId w:val="5"/>
        </w:numPr>
        <w:spacing w:after="80"/>
        <w:ind w:left="567" w:right="1819" w:firstLine="0"/>
        <w:contextualSpacing w:val="0"/>
        <w:rPr>
          <w:rFonts w:ascii="Arial" w:hAnsi="Arial" w:cs="Arial"/>
          <w:sz w:val="21"/>
          <w:szCs w:val="21"/>
          <w:lang w:val="es-ES_tradnl"/>
        </w:rPr>
        <w:sectPr w:rsidR="003441FD" w:rsidRPr="00043797" w:rsidSect="003441FD">
          <w:endnotePr>
            <w:numFmt w:val="decimal"/>
          </w:endnotePr>
          <w:type w:val="continuous"/>
          <w:pgSz w:w="11906" w:h="16838"/>
          <w:pgMar w:top="720" w:right="720" w:bottom="720" w:left="720" w:header="708" w:footer="708" w:gutter="0"/>
          <w:cols w:space="708"/>
          <w:docGrid w:linePitch="360"/>
        </w:sectPr>
      </w:pPr>
    </w:p>
    <w:p w14:paraId="3FDBC98F" w14:textId="77777777" w:rsidR="001130B4" w:rsidRDefault="00916A28" w:rsidP="001130B4">
      <w:pPr>
        <w:spacing w:after="120"/>
        <w:ind w:left="567" w:right="1819"/>
        <w:jc w:val="both"/>
        <w:rPr>
          <w:rFonts w:ascii="Arial" w:hAnsi="Arial" w:cs="Arial"/>
          <w:lang w:val="es-ES"/>
        </w:rPr>
      </w:pPr>
      <w:r w:rsidRPr="00916A28">
        <w:rPr>
          <w:rFonts w:ascii="Arial" w:hAnsi="Arial" w:cs="Arial"/>
          <w:lang w:val="es-ES"/>
        </w:rPr>
        <w:lastRenderedPageBreak/>
        <w:t>Los fallo</w:t>
      </w:r>
      <w:r>
        <w:rPr>
          <w:rFonts w:ascii="Arial" w:hAnsi="Arial" w:cs="Arial"/>
          <w:lang w:val="es-ES"/>
        </w:rPr>
        <w:t xml:space="preserve">s judiciales </w:t>
      </w:r>
      <w:r w:rsidR="001130B4">
        <w:rPr>
          <w:rFonts w:ascii="Arial" w:hAnsi="Arial" w:cs="Arial"/>
          <w:lang w:val="es-ES"/>
        </w:rPr>
        <w:t>que han desestimado</w:t>
      </w:r>
      <w:r>
        <w:rPr>
          <w:rFonts w:ascii="Arial" w:hAnsi="Arial" w:cs="Arial"/>
          <w:lang w:val="es-ES"/>
        </w:rPr>
        <w:t xml:space="preserve"> las objeciones </w:t>
      </w:r>
      <w:r w:rsidRPr="00916A28">
        <w:rPr>
          <w:rFonts w:ascii="Arial" w:hAnsi="Arial" w:cs="Arial"/>
          <w:lang w:val="es-ES"/>
        </w:rPr>
        <w:t xml:space="preserve">legales en Australia, Francia y el Reino Unido han sido claros: el empaquetado </w:t>
      </w:r>
      <w:r w:rsidR="001130B4">
        <w:rPr>
          <w:rFonts w:ascii="Arial" w:hAnsi="Arial" w:cs="Arial"/>
          <w:lang w:val="es-ES"/>
        </w:rPr>
        <w:t>neutro</w:t>
      </w:r>
      <w:r w:rsidRPr="00916A28">
        <w:rPr>
          <w:rFonts w:ascii="Arial" w:hAnsi="Arial" w:cs="Arial"/>
          <w:lang w:val="es-ES"/>
        </w:rPr>
        <w:t xml:space="preserve"> no infringe ni las leyes ni las obligacio</w:t>
      </w:r>
      <w:r w:rsidR="001130B4">
        <w:rPr>
          <w:rFonts w:ascii="Arial" w:hAnsi="Arial" w:cs="Arial"/>
          <w:lang w:val="es-ES"/>
        </w:rPr>
        <w:t>nes de propiedad intelectual (PI</w:t>
      </w:r>
      <w:r w:rsidRPr="00916A28">
        <w:rPr>
          <w:rFonts w:ascii="Arial" w:hAnsi="Arial" w:cs="Arial"/>
          <w:lang w:val="es-ES"/>
        </w:rPr>
        <w:t>) nacionales o internacionales.</w:t>
      </w:r>
    </w:p>
    <w:p w14:paraId="031FB833" w14:textId="77777777" w:rsidR="003F53E6" w:rsidRDefault="001130B4" w:rsidP="003F53E6">
      <w:pPr>
        <w:spacing w:after="120"/>
        <w:ind w:left="567" w:right="1819"/>
        <w:jc w:val="both"/>
        <w:rPr>
          <w:rFonts w:ascii="Arial" w:hAnsi="Arial" w:cs="Arial"/>
          <w:lang w:val="es-ES"/>
        </w:rPr>
      </w:pPr>
      <w:r w:rsidRPr="001130B4">
        <w:rPr>
          <w:rFonts w:ascii="Arial" w:hAnsi="Arial" w:cs="Arial"/>
          <w:lang w:val="es-ES"/>
        </w:rPr>
        <w:t xml:space="preserve">Como señaló el Tribunal Superior de Australia, el empaquetado </w:t>
      </w:r>
      <w:r>
        <w:rPr>
          <w:rFonts w:ascii="Arial" w:hAnsi="Arial" w:cs="Arial"/>
          <w:lang w:val="es-ES"/>
        </w:rPr>
        <w:t>neutro</w:t>
      </w:r>
      <w:r w:rsidRPr="001130B4">
        <w:rPr>
          <w:rFonts w:ascii="Arial" w:hAnsi="Arial" w:cs="Arial"/>
          <w:lang w:val="es-ES"/>
        </w:rPr>
        <w:t xml:space="preserve"> no es diferente de otros requisitos de envasado o etiquetado. Si el empaquetado </w:t>
      </w:r>
      <w:r>
        <w:rPr>
          <w:rFonts w:ascii="Arial" w:hAnsi="Arial" w:cs="Arial"/>
          <w:lang w:val="es-ES"/>
        </w:rPr>
        <w:t>neutro del tabaco infringiera</w:t>
      </w:r>
      <w:r w:rsidRPr="001130B4">
        <w:rPr>
          <w:rFonts w:ascii="Arial" w:hAnsi="Arial" w:cs="Arial"/>
          <w:lang w:val="es-ES"/>
        </w:rPr>
        <w:t xml:space="preserve"> las leyes de propiedad intelectual, los gobiernos no podrían regular el envasado y etiquetado de otros productos.</w:t>
      </w:r>
    </w:p>
    <w:p w14:paraId="0919E9C9" w14:textId="7075E3F8" w:rsidR="003F53E6" w:rsidRDefault="001130B4" w:rsidP="003F53E6">
      <w:pPr>
        <w:spacing w:after="120"/>
        <w:ind w:left="567" w:right="1819"/>
        <w:jc w:val="both"/>
        <w:rPr>
          <w:rFonts w:ascii="Arial" w:hAnsi="Arial" w:cs="Arial"/>
          <w:lang w:val="es-ES"/>
        </w:rPr>
      </w:pPr>
      <w:r w:rsidRPr="001130B4">
        <w:rPr>
          <w:rFonts w:ascii="Arial" w:hAnsi="Arial" w:cs="Arial"/>
          <w:lang w:val="es-ES"/>
        </w:rPr>
        <w:t xml:space="preserve">Las </w:t>
      </w:r>
      <w:r w:rsidR="00F00404">
        <w:rPr>
          <w:rFonts w:ascii="Arial" w:hAnsi="Arial" w:cs="Arial"/>
          <w:lang w:val="es-ES"/>
        </w:rPr>
        <w:t>empresas</w:t>
      </w:r>
      <w:r w:rsidRPr="001130B4">
        <w:rPr>
          <w:rFonts w:ascii="Arial" w:hAnsi="Arial" w:cs="Arial"/>
          <w:lang w:val="es-ES"/>
        </w:rPr>
        <w:t xml:space="preserve"> tabacaleras argumentan que, una vez que han registrado sus marcas</w:t>
      </w:r>
      <w:r>
        <w:rPr>
          <w:rFonts w:ascii="Arial" w:hAnsi="Arial" w:cs="Arial"/>
          <w:lang w:val="es-ES"/>
        </w:rPr>
        <w:t>, tienen el “derecho de uso”</w:t>
      </w:r>
      <w:r w:rsidRPr="001130B4">
        <w:rPr>
          <w:rFonts w:ascii="Arial" w:hAnsi="Arial" w:cs="Arial"/>
          <w:lang w:val="es-ES"/>
        </w:rPr>
        <w:t xml:space="preserve"> </w:t>
      </w:r>
      <w:r>
        <w:rPr>
          <w:rFonts w:ascii="Arial" w:hAnsi="Arial" w:cs="Arial"/>
          <w:lang w:val="es-ES"/>
        </w:rPr>
        <w:t xml:space="preserve">de </w:t>
      </w:r>
      <w:r w:rsidRPr="001130B4">
        <w:rPr>
          <w:rFonts w:ascii="Arial" w:hAnsi="Arial" w:cs="Arial"/>
          <w:lang w:val="es-ES"/>
        </w:rPr>
        <w:t>esas marcas comerciales. Pero ningún tratado internacional de propiedad intelectual exige que los propietarios d</w:t>
      </w:r>
      <w:r w:rsidR="008E0F1F">
        <w:rPr>
          <w:rFonts w:ascii="Arial" w:hAnsi="Arial" w:cs="Arial"/>
          <w:lang w:val="es-ES"/>
        </w:rPr>
        <w:t>e marcas registradas tengan un “derecho de uso”</w:t>
      </w:r>
      <w:r w:rsidR="00F00404">
        <w:rPr>
          <w:rFonts w:ascii="Arial" w:hAnsi="Arial" w:cs="Arial"/>
          <w:lang w:val="es-ES"/>
        </w:rPr>
        <w:t xml:space="preserve"> que anule los poderes de un E</w:t>
      </w:r>
      <w:r w:rsidRPr="001130B4">
        <w:rPr>
          <w:rFonts w:ascii="Arial" w:hAnsi="Arial" w:cs="Arial"/>
          <w:lang w:val="es-ES"/>
        </w:rPr>
        <w:t>stado para regular por el bien público.</w:t>
      </w:r>
    </w:p>
    <w:p w14:paraId="676886E1" w14:textId="5E5DE454" w:rsidR="003441FD" w:rsidRPr="00475FA0" w:rsidRDefault="003F53E6" w:rsidP="00475FA0">
      <w:pPr>
        <w:spacing w:after="120"/>
        <w:ind w:left="567" w:right="1819"/>
        <w:jc w:val="both"/>
        <w:rPr>
          <w:rFonts w:ascii="Arial" w:hAnsi="Arial" w:cs="Arial"/>
          <w:lang w:val="es-ES_tradnl"/>
        </w:rPr>
      </w:pPr>
      <w:r>
        <w:rPr>
          <w:rFonts w:ascii="Arial" w:hAnsi="Arial" w:cs="Arial"/>
          <w:lang w:val="es-ES"/>
        </w:rPr>
        <w:t>L</w:t>
      </w:r>
      <w:r w:rsidRPr="003F53E6">
        <w:rPr>
          <w:rFonts w:ascii="Arial" w:hAnsi="Arial" w:cs="Arial"/>
          <w:lang w:val="es-ES"/>
        </w:rPr>
        <w:t xml:space="preserve">os documentos internos </w:t>
      </w:r>
      <w:r>
        <w:rPr>
          <w:rFonts w:ascii="Arial" w:hAnsi="Arial" w:cs="Arial"/>
          <w:lang w:val="es-ES"/>
        </w:rPr>
        <w:t xml:space="preserve">revelados </w:t>
      </w:r>
      <w:r w:rsidRPr="003F53E6">
        <w:rPr>
          <w:rFonts w:ascii="Arial" w:hAnsi="Arial" w:cs="Arial"/>
          <w:lang w:val="es-ES"/>
        </w:rPr>
        <w:t>de la industria muestran que</w:t>
      </w:r>
      <w:r>
        <w:rPr>
          <w:rFonts w:ascii="Arial" w:hAnsi="Arial" w:cs="Arial"/>
          <w:lang w:val="es-ES"/>
        </w:rPr>
        <w:t>, y</w:t>
      </w:r>
      <w:r w:rsidRPr="003F53E6">
        <w:rPr>
          <w:rFonts w:ascii="Arial" w:hAnsi="Arial" w:cs="Arial"/>
          <w:lang w:val="es-ES"/>
        </w:rPr>
        <w:t>a e</w:t>
      </w:r>
      <w:r>
        <w:rPr>
          <w:rFonts w:ascii="Arial" w:hAnsi="Arial" w:cs="Arial"/>
          <w:lang w:val="es-ES"/>
        </w:rPr>
        <w:t>n 1994,</w:t>
      </w:r>
      <w:r w:rsidRPr="003F53E6">
        <w:rPr>
          <w:rFonts w:ascii="Arial" w:hAnsi="Arial" w:cs="Arial"/>
          <w:lang w:val="es-ES"/>
        </w:rPr>
        <w:t xml:space="preserve"> las empresas tabacaleras recibieron el asesoramiento de sus propios abogados y de la Organización Mundial de la Propiedad Intelectual (OMPI), </w:t>
      </w:r>
      <w:r>
        <w:rPr>
          <w:rFonts w:ascii="Arial" w:hAnsi="Arial" w:cs="Arial"/>
          <w:lang w:val="es-ES"/>
        </w:rPr>
        <w:t xml:space="preserve">sobre el hecho de </w:t>
      </w:r>
      <w:r w:rsidRPr="003F53E6">
        <w:rPr>
          <w:rFonts w:ascii="Arial" w:hAnsi="Arial" w:cs="Arial"/>
          <w:lang w:val="es-ES"/>
        </w:rPr>
        <w:t xml:space="preserve">que el empaquetado </w:t>
      </w:r>
      <w:r>
        <w:rPr>
          <w:rFonts w:ascii="Arial" w:hAnsi="Arial" w:cs="Arial"/>
          <w:lang w:val="es-ES"/>
        </w:rPr>
        <w:t>neutro</w:t>
      </w:r>
      <w:r w:rsidRPr="003F53E6">
        <w:rPr>
          <w:rFonts w:ascii="Arial" w:hAnsi="Arial" w:cs="Arial"/>
          <w:lang w:val="es-ES"/>
        </w:rPr>
        <w:t xml:space="preserve"> no contravendría las normas internacionales de propiedad intelectual.</w:t>
      </w:r>
      <w:r w:rsidRPr="003F53E6">
        <w:rPr>
          <w:rStyle w:val="EndnoteReference"/>
          <w:rFonts w:ascii="Arial" w:hAnsi="Arial" w:cs="Arial"/>
          <w:lang w:val="es-ES_tradnl"/>
        </w:rPr>
        <w:t xml:space="preserve"> </w:t>
      </w:r>
      <w:r w:rsidRPr="00043797">
        <w:rPr>
          <w:rStyle w:val="EndnoteReference"/>
          <w:rFonts w:ascii="Arial" w:hAnsi="Arial" w:cs="Arial"/>
          <w:lang w:val="es-ES_tradnl"/>
        </w:rPr>
        <w:endnoteReference w:id="9"/>
      </w:r>
    </w:p>
    <w:p w14:paraId="3B1BDB5A" w14:textId="60635918" w:rsidR="003F53E6" w:rsidRDefault="003F53E6" w:rsidP="00475FA0">
      <w:pPr>
        <w:spacing w:after="120"/>
        <w:ind w:left="567" w:right="1819"/>
        <w:jc w:val="both"/>
        <w:rPr>
          <w:rFonts w:ascii="Arial" w:hAnsi="Arial" w:cs="Arial"/>
          <w:lang w:val="es-ES_tradnl"/>
        </w:rPr>
      </w:pPr>
      <w:r w:rsidRPr="003F53E6">
        <w:rPr>
          <w:rFonts w:ascii="Arial" w:hAnsi="Arial" w:cs="Arial"/>
          <w:lang w:val="es-ES_tradnl"/>
        </w:rPr>
        <w:t>El Director General de la OMPI escribió al Director General de la</w:t>
      </w:r>
      <w:r>
        <w:rPr>
          <w:rFonts w:ascii="Arial" w:hAnsi="Arial" w:cs="Arial"/>
          <w:lang w:val="es-ES_tradnl"/>
        </w:rPr>
        <w:t xml:space="preserve"> OMS en 1995 para declarar que “</w:t>
      </w:r>
      <w:r w:rsidRPr="00475FA0">
        <w:rPr>
          <w:rFonts w:ascii="Arial" w:hAnsi="Arial" w:cs="Arial"/>
          <w:i/>
          <w:iCs/>
          <w:lang w:val="es-ES_tradnl"/>
        </w:rPr>
        <w:t xml:space="preserve">los países (...) pueden regular libremente la venta de ciertos tipos de productos y el hecho de que una marca haya sido registrada para tales productos no da derecho al titular del registro </w:t>
      </w:r>
      <w:r w:rsidR="00475FA0" w:rsidRPr="00475FA0">
        <w:rPr>
          <w:rFonts w:ascii="Arial" w:hAnsi="Arial" w:cs="Arial"/>
          <w:i/>
          <w:iCs/>
          <w:lang w:val="es-ES_tradnl"/>
        </w:rPr>
        <w:t>a estar exento</w:t>
      </w:r>
      <w:r w:rsidRPr="00475FA0">
        <w:rPr>
          <w:rFonts w:ascii="Arial" w:hAnsi="Arial" w:cs="Arial"/>
          <w:i/>
          <w:iCs/>
          <w:lang w:val="es-ES_tradnl"/>
        </w:rPr>
        <w:t xml:space="preserve"> de toda limitación de uso de la marca que pueda decidir la autoridad competente del país en </w:t>
      </w:r>
      <w:r w:rsidR="00475FA0" w:rsidRPr="00475FA0">
        <w:rPr>
          <w:rFonts w:ascii="Arial" w:hAnsi="Arial" w:cs="Arial"/>
          <w:i/>
          <w:iCs/>
          <w:lang w:val="es-ES_tradnl"/>
        </w:rPr>
        <w:t>el que esté registrada dicha marca</w:t>
      </w:r>
      <w:r w:rsidR="00475FA0">
        <w:rPr>
          <w:rFonts w:ascii="Arial" w:hAnsi="Arial" w:cs="Arial"/>
          <w:lang w:val="es-ES_tradnl"/>
        </w:rPr>
        <w:t>”.</w:t>
      </w:r>
      <w:r w:rsidR="00475FA0" w:rsidRPr="00043797">
        <w:rPr>
          <w:rStyle w:val="EndnoteReference"/>
          <w:rFonts w:ascii="Arial" w:hAnsi="Arial" w:cs="Arial"/>
          <w:lang w:val="es-ES_tradnl"/>
        </w:rPr>
        <w:endnoteReference w:id="10"/>
      </w:r>
      <w:r w:rsidR="00475FA0">
        <w:rPr>
          <w:rFonts w:ascii="Arial" w:hAnsi="Arial" w:cs="Arial"/>
          <w:lang w:val="es-ES_tradnl"/>
        </w:rPr>
        <w:t xml:space="preserve">  </w:t>
      </w:r>
    </w:p>
    <w:p w14:paraId="2A88E26E" w14:textId="77777777" w:rsidR="00475FA0" w:rsidRPr="00475FA0" w:rsidRDefault="00475FA0" w:rsidP="00475FA0">
      <w:pPr>
        <w:spacing w:after="120"/>
        <w:ind w:left="567" w:right="1819"/>
        <w:jc w:val="both"/>
        <w:rPr>
          <w:rFonts w:ascii="Arial" w:hAnsi="Arial" w:cs="Arial"/>
          <w:lang w:val="es-ES_tradnl"/>
        </w:rPr>
        <w:sectPr w:rsidR="00475FA0" w:rsidRPr="00475FA0" w:rsidSect="003441FD">
          <w:endnotePr>
            <w:numFmt w:val="decimal"/>
          </w:endnotePr>
          <w:type w:val="continuous"/>
          <w:pgSz w:w="11906" w:h="16838"/>
          <w:pgMar w:top="720" w:right="720" w:bottom="720" w:left="720" w:header="708" w:footer="708" w:gutter="0"/>
          <w:cols w:space="286"/>
          <w:docGrid w:linePitch="360"/>
        </w:sectPr>
      </w:pPr>
    </w:p>
    <w:p w14:paraId="75B7A0B2" w14:textId="77777777" w:rsidR="00F00404" w:rsidRDefault="00F00404" w:rsidP="001709BE">
      <w:pPr>
        <w:spacing w:before="240" w:after="80"/>
        <w:ind w:left="567" w:right="1819"/>
        <w:outlineLvl w:val="0"/>
        <w:rPr>
          <w:rFonts w:ascii="Arial" w:hAnsi="Arial" w:cs="Arial"/>
          <w:b/>
          <w:color w:val="666633"/>
          <w:sz w:val="32"/>
          <w:szCs w:val="36"/>
          <w:lang w:val="es-ES_tradnl"/>
        </w:rPr>
      </w:pPr>
    </w:p>
    <w:p w14:paraId="209CB365" w14:textId="77777777" w:rsidR="00F00404" w:rsidRDefault="00F00404" w:rsidP="001709BE">
      <w:pPr>
        <w:spacing w:before="240" w:after="80"/>
        <w:ind w:left="567" w:right="1819"/>
        <w:outlineLvl w:val="0"/>
        <w:rPr>
          <w:rFonts w:ascii="Arial" w:hAnsi="Arial" w:cs="Arial"/>
          <w:b/>
          <w:color w:val="666633"/>
          <w:sz w:val="32"/>
          <w:szCs w:val="36"/>
          <w:lang w:val="es-ES_tradnl"/>
        </w:rPr>
      </w:pPr>
    </w:p>
    <w:p w14:paraId="369ADE5E" w14:textId="77777777" w:rsidR="00F00404" w:rsidRDefault="00F00404" w:rsidP="001709BE">
      <w:pPr>
        <w:spacing w:before="240" w:after="80"/>
        <w:ind w:left="567" w:right="1819"/>
        <w:outlineLvl w:val="0"/>
        <w:rPr>
          <w:rFonts w:ascii="Arial" w:hAnsi="Arial" w:cs="Arial"/>
          <w:b/>
          <w:color w:val="666633"/>
          <w:sz w:val="32"/>
          <w:szCs w:val="36"/>
          <w:lang w:val="es-ES_tradnl"/>
        </w:rPr>
      </w:pPr>
    </w:p>
    <w:p w14:paraId="300B4652" w14:textId="509403D1" w:rsidR="003441FD" w:rsidRPr="00043797" w:rsidRDefault="001709BE" w:rsidP="001709BE">
      <w:pPr>
        <w:spacing w:before="240" w:after="80"/>
        <w:ind w:left="567" w:right="1819"/>
        <w:outlineLvl w:val="0"/>
        <w:rPr>
          <w:rFonts w:ascii="Arial" w:hAnsi="Arial" w:cs="Arial"/>
          <w:b/>
          <w:color w:val="666633"/>
          <w:sz w:val="32"/>
          <w:szCs w:val="36"/>
          <w:lang w:val="es-ES_tradnl"/>
        </w:rPr>
      </w:pPr>
      <w:r>
        <w:rPr>
          <w:rFonts w:ascii="Arial" w:hAnsi="Arial" w:cs="Arial"/>
          <w:b/>
          <w:color w:val="666633"/>
          <w:sz w:val="32"/>
          <w:szCs w:val="36"/>
          <w:lang w:val="es-ES_tradnl"/>
        </w:rPr>
        <w:t>El caso que está siendo considerado por la OMC</w:t>
      </w:r>
      <w:r w:rsidR="003441FD" w:rsidRPr="00043797">
        <w:rPr>
          <w:rFonts w:ascii="Arial" w:hAnsi="Arial" w:cs="Arial"/>
          <w:b/>
          <w:color w:val="666633"/>
          <w:sz w:val="32"/>
          <w:szCs w:val="36"/>
          <w:lang w:val="es-ES_tradnl"/>
        </w:rPr>
        <w:t xml:space="preserve"> </w:t>
      </w:r>
    </w:p>
    <w:p w14:paraId="3B9596CC" w14:textId="77777777" w:rsidR="003441FD" w:rsidRPr="00043797" w:rsidRDefault="003441FD" w:rsidP="00F608C9">
      <w:pPr>
        <w:pStyle w:val="ListParagraph"/>
        <w:numPr>
          <w:ilvl w:val="0"/>
          <w:numId w:val="6"/>
        </w:numPr>
        <w:spacing w:after="80"/>
        <w:ind w:left="567" w:right="1819" w:firstLine="0"/>
        <w:contextualSpacing w:val="0"/>
        <w:rPr>
          <w:rFonts w:ascii="Arial" w:hAnsi="Arial" w:cs="Arial"/>
          <w:sz w:val="21"/>
          <w:szCs w:val="21"/>
          <w:lang w:val="es-ES_tradnl"/>
        </w:rPr>
        <w:sectPr w:rsidR="003441FD" w:rsidRPr="00043797" w:rsidSect="003441FD">
          <w:endnotePr>
            <w:numFmt w:val="decimal"/>
          </w:endnotePr>
          <w:type w:val="continuous"/>
          <w:pgSz w:w="11906" w:h="16838"/>
          <w:pgMar w:top="720" w:right="720" w:bottom="720" w:left="720" w:header="708" w:footer="708" w:gutter="0"/>
          <w:cols w:space="708"/>
          <w:docGrid w:linePitch="360"/>
        </w:sectPr>
      </w:pPr>
    </w:p>
    <w:p w14:paraId="5A014706" w14:textId="77777777" w:rsidR="00B7531C" w:rsidRDefault="00475FA0" w:rsidP="00B7531C">
      <w:pPr>
        <w:spacing w:after="80"/>
        <w:ind w:left="567" w:right="1819"/>
        <w:jc w:val="both"/>
        <w:rPr>
          <w:rFonts w:ascii="Arial" w:hAnsi="Arial" w:cs="Arial"/>
          <w:lang w:val="es-ES_tradnl"/>
        </w:rPr>
      </w:pPr>
      <w:r w:rsidRPr="00F00404">
        <w:rPr>
          <w:rFonts w:ascii="Arial" w:hAnsi="Arial" w:cs="Arial"/>
          <w:lang w:val="es-ES"/>
        </w:rPr>
        <w:lastRenderedPageBreak/>
        <w:t>Un panel de solución de controversias</w:t>
      </w:r>
      <w:r w:rsidRPr="00475FA0">
        <w:rPr>
          <w:rFonts w:ascii="Arial" w:hAnsi="Arial" w:cs="Arial"/>
          <w:lang w:val="es-ES"/>
        </w:rPr>
        <w:t xml:space="preserve"> de la Organización Mundial del Comercio (OMC) está resolviendo las </w:t>
      </w:r>
      <w:r>
        <w:rPr>
          <w:rFonts w:ascii="Arial" w:hAnsi="Arial" w:cs="Arial"/>
          <w:lang w:val="es-ES"/>
        </w:rPr>
        <w:t>reclamaciones</w:t>
      </w:r>
      <w:r w:rsidRPr="00475FA0">
        <w:rPr>
          <w:rFonts w:ascii="Arial" w:hAnsi="Arial" w:cs="Arial"/>
          <w:lang w:val="es-ES"/>
        </w:rPr>
        <w:t xml:space="preserve"> de Honduras, la República Dominicana, Cuba e Indonesia contra el empaquetado </w:t>
      </w:r>
      <w:r>
        <w:rPr>
          <w:rFonts w:ascii="Arial" w:hAnsi="Arial" w:cs="Arial"/>
          <w:lang w:val="es-ES"/>
        </w:rPr>
        <w:t>neutro</w:t>
      </w:r>
      <w:r w:rsidRPr="00475FA0">
        <w:rPr>
          <w:rFonts w:ascii="Arial" w:hAnsi="Arial" w:cs="Arial"/>
          <w:lang w:val="es-ES"/>
        </w:rPr>
        <w:t xml:space="preserve"> de Australia, alegando que infringe los acuerdos ADPIC y OTC. </w:t>
      </w:r>
      <w:r w:rsidRPr="00043797">
        <w:rPr>
          <w:rStyle w:val="EndnoteReference"/>
          <w:rFonts w:ascii="Arial" w:hAnsi="Arial" w:cs="Arial"/>
          <w:lang w:val="es-ES_tradnl"/>
        </w:rPr>
        <w:endnoteReference w:id="11"/>
      </w:r>
      <w:r w:rsidRPr="00475FA0">
        <w:rPr>
          <w:rFonts w:ascii="Arial" w:hAnsi="Arial" w:cs="Arial"/>
          <w:lang w:val="es-ES"/>
        </w:rPr>
        <w:t xml:space="preserve"> (Ucrania también inició una </w:t>
      </w:r>
      <w:r w:rsidR="00B7531C" w:rsidRPr="00475FA0">
        <w:rPr>
          <w:rFonts w:ascii="Arial" w:hAnsi="Arial" w:cs="Arial"/>
          <w:lang w:val="es-ES"/>
        </w:rPr>
        <w:t>disputa,</w:t>
      </w:r>
      <w:r w:rsidRPr="00475FA0">
        <w:rPr>
          <w:rFonts w:ascii="Arial" w:hAnsi="Arial" w:cs="Arial"/>
          <w:lang w:val="es-ES"/>
        </w:rPr>
        <w:t xml:space="preserve"> pero luego retiró su </w:t>
      </w:r>
      <w:r>
        <w:rPr>
          <w:rFonts w:ascii="Arial" w:hAnsi="Arial" w:cs="Arial"/>
          <w:lang w:val="es-ES"/>
        </w:rPr>
        <w:t>queja</w:t>
      </w:r>
      <w:r w:rsidRPr="00475FA0">
        <w:rPr>
          <w:rFonts w:ascii="Arial" w:hAnsi="Arial" w:cs="Arial"/>
          <w:lang w:val="es-ES"/>
        </w:rPr>
        <w:t>).</w:t>
      </w:r>
    </w:p>
    <w:p w14:paraId="3A3359AF" w14:textId="673EF9C6" w:rsidR="00D96507" w:rsidRDefault="00B7531C" w:rsidP="00D96507">
      <w:pPr>
        <w:spacing w:after="80"/>
        <w:ind w:left="567" w:right="1819"/>
        <w:jc w:val="both"/>
        <w:rPr>
          <w:rFonts w:ascii="Arial" w:hAnsi="Arial" w:cs="Arial"/>
          <w:lang w:val="es-ES"/>
        </w:rPr>
      </w:pPr>
      <w:r>
        <w:rPr>
          <w:rFonts w:ascii="Arial" w:hAnsi="Arial" w:cs="Arial"/>
          <w:lang w:val="es-ES"/>
        </w:rPr>
        <w:t>Está previsto que l</w:t>
      </w:r>
      <w:r w:rsidR="00475FA0" w:rsidRPr="00475FA0">
        <w:rPr>
          <w:rFonts w:ascii="Arial" w:hAnsi="Arial" w:cs="Arial"/>
          <w:lang w:val="es-ES"/>
        </w:rPr>
        <w:t xml:space="preserve">a decisión del panel se </w:t>
      </w:r>
      <w:r>
        <w:rPr>
          <w:rFonts w:ascii="Arial" w:hAnsi="Arial" w:cs="Arial"/>
          <w:lang w:val="es-ES"/>
        </w:rPr>
        <w:t>haga</w:t>
      </w:r>
      <w:r w:rsidR="00475FA0" w:rsidRPr="00475FA0">
        <w:rPr>
          <w:rFonts w:ascii="Arial" w:hAnsi="Arial" w:cs="Arial"/>
          <w:lang w:val="es-ES"/>
        </w:rPr>
        <w:t xml:space="preserve"> pública en 2017</w:t>
      </w:r>
      <w:bookmarkStart w:id="0" w:name="_GoBack"/>
      <w:bookmarkEnd w:id="0"/>
      <w:r w:rsidR="009C714A">
        <w:rPr>
          <w:rFonts w:ascii="Arial" w:hAnsi="Arial" w:cs="Arial"/>
          <w:lang w:val="es-ES"/>
        </w:rPr>
        <w:t>. Treinta y cuatro E</w:t>
      </w:r>
      <w:r w:rsidR="00475FA0" w:rsidRPr="00475FA0">
        <w:rPr>
          <w:rFonts w:ascii="Arial" w:hAnsi="Arial" w:cs="Arial"/>
          <w:lang w:val="es-ES"/>
        </w:rPr>
        <w:t xml:space="preserve">stados miembros junto con la UE han presentado comunicaciones de terceros, más que </w:t>
      </w:r>
      <w:r>
        <w:rPr>
          <w:rFonts w:ascii="Arial" w:hAnsi="Arial" w:cs="Arial"/>
          <w:lang w:val="es-ES"/>
        </w:rPr>
        <w:t xml:space="preserve">en </w:t>
      </w:r>
      <w:r w:rsidR="00475FA0" w:rsidRPr="00475FA0">
        <w:rPr>
          <w:rFonts w:ascii="Arial" w:hAnsi="Arial" w:cs="Arial"/>
          <w:lang w:val="es-ES"/>
        </w:rPr>
        <w:t xml:space="preserve">cualquier disputa previa de la OMC. </w:t>
      </w:r>
      <w:r w:rsidR="009C714A">
        <w:rPr>
          <w:rFonts w:ascii="Arial" w:hAnsi="Arial" w:cs="Arial"/>
          <w:lang w:val="es-ES"/>
        </w:rPr>
        <w:t>Se trata de</w:t>
      </w:r>
      <w:r w:rsidR="00475FA0" w:rsidRPr="00475FA0">
        <w:rPr>
          <w:rFonts w:ascii="Arial" w:hAnsi="Arial" w:cs="Arial"/>
          <w:lang w:val="es-ES"/>
        </w:rPr>
        <w:t xml:space="preserve"> una decisión importante y muy </w:t>
      </w:r>
      <w:r w:rsidR="009C714A">
        <w:rPr>
          <w:rFonts w:ascii="Arial" w:hAnsi="Arial" w:cs="Arial"/>
          <w:lang w:val="es-ES"/>
        </w:rPr>
        <w:t>anticipada</w:t>
      </w:r>
      <w:r w:rsidR="00475FA0" w:rsidRPr="00475FA0">
        <w:rPr>
          <w:rFonts w:ascii="Arial" w:hAnsi="Arial" w:cs="Arial"/>
          <w:lang w:val="es-ES"/>
        </w:rPr>
        <w:t>.</w:t>
      </w:r>
    </w:p>
    <w:p w14:paraId="27F6A9CD" w14:textId="5F044FFC" w:rsidR="00B7531C" w:rsidRPr="00B7531C" w:rsidRDefault="00B7531C" w:rsidP="00D96507">
      <w:pPr>
        <w:spacing w:after="80"/>
        <w:ind w:left="567" w:right="1819"/>
        <w:jc w:val="both"/>
        <w:rPr>
          <w:rFonts w:ascii="Arial" w:hAnsi="Arial" w:cs="Arial"/>
          <w:lang w:val="es-ES_tradnl"/>
        </w:rPr>
      </w:pPr>
      <w:r w:rsidRPr="00B7531C">
        <w:rPr>
          <w:rFonts w:ascii="Arial" w:hAnsi="Arial" w:cs="Arial"/>
          <w:lang w:val="es-ES"/>
        </w:rPr>
        <w:t xml:space="preserve">Sin embargo, los gobiernos de muchos países han considerado sus obligaciones en el marco de la OMC y </w:t>
      </w:r>
      <w:r>
        <w:rPr>
          <w:rFonts w:ascii="Arial" w:hAnsi="Arial" w:cs="Arial"/>
          <w:lang w:val="es-ES"/>
        </w:rPr>
        <w:t>han decidido</w:t>
      </w:r>
      <w:r w:rsidRPr="00B7531C">
        <w:rPr>
          <w:rFonts w:ascii="Arial" w:hAnsi="Arial" w:cs="Arial"/>
          <w:lang w:val="es-ES"/>
        </w:rPr>
        <w:t xml:space="preserve"> proceder antes de que se dicte el fallo, y, como se indicó anteriormente, muchos tribunales consideraron los acuerdos de la OMC y descubrieron que las leyes de empaquetado genérico no los violan.</w:t>
      </w:r>
    </w:p>
    <w:p w14:paraId="5B7B67B6" w14:textId="3CCBF1BF" w:rsidR="00F608C9" w:rsidRPr="00D96507" w:rsidRDefault="00F608C9" w:rsidP="00D96507">
      <w:pPr>
        <w:spacing w:after="80"/>
        <w:ind w:right="1819"/>
        <w:jc w:val="both"/>
        <w:rPr>
          <w:rFonts w:ascii="Arial" w:hAnsi="Arial" w:cs="Arial"/>
          <w:lang w:val="es-ES_tradnl"/>
        </w:rPr>
      </w:pPr>
    </w:p>
    <w:p w14:paraId="5907C657" w14:textId="1EE90602" w:rsidR="003441FD" w:rsidRPr="00043797" w:rsidRDefault="001709BE" w:rsidP="001709BE">
      <w:pPr>
        <w:spacing w:before="240" w:after="80" w:line="240" w:lineRule="auto"/>
        <w:ind w:left="567" w:right="1961"/>
        <w:rPr>
          <w:rFonts w:ascii="Arial" w:hAnsi="Arial" w:cs="Arial"/>
          <w:b/>
          <w:color w:val="666633"/>
          <w:sz w:val="32"/>
          <w:szCs w:val="36"/>
          <w:lang w:val="es-ES_tradnl"/>
        </w:rPr>
      </w:pPr>
      <w:r>
        <w:rPr>
          <w:rFonts w:ascii="Arial" w:hAnsi="Arial" w:cs="Arial"/>
          <w:b/>
          <w:color w:val="666633"/>
          <w:sz w:val="32"/>
          <w:szCs w:val="36"/>
          <w:lang w:val="es-ES_tradnl"/>
        </w:rPr>
        <w:t xml:space="preserve">¿Qué reclaman las </w:t>
      </w:r>
      <w:r w:rsidR="009C714A">
        <w:rPr>
          <w:rFonts w:ascii="Arial" w:hAnsi="Arial" w:cs="Arial"/>
          <w:b/>
          <w:color w:val="666633"/>
          <w:sz w:val="32"/>
          <w:szCs w:val="36"/>
          <w:lang w:val="es-ES_tradnl"/>
        </w:rPr>
        <w:t>empresas</w:t>
      </w:r>
      <w:r>
        <w:rPr>
          <w:rFonts w:ascii="Arial" w:hAnsi="Arial" w:cs="Arial"/>
          <w:b/>
          <w:color w:val="666633"/>
          <w:sz w:val="32"/>
          <w:szCs w:val="36"/>
          <w:lang w:val="es-ES_tradnl"/>
        </w:rPr>
        <w:t xml:space="preserve"> tabacaleras y qué han decidido los tribunales en otros países</w:t>
      </w:r>
      <w:r w:rsidR="003441FD" w:rsidRPr="00043797">
        <w:rPr>
          <w:rFonts w:ascii="Arial" w:hAnsi="Arial" w:cs="Arial"/>
          <w:b/>
          <w:color w:val="666633"/>
          <w:sz w:val="32"/>
          <w:szCs w:val="36"/>
          <w:lang w:val="es-ES_tradnl"/>
        </w:rPr>
        <w:t>?</w:t>
      </w:r>
    </w:p>
    <w:p w14:paraId="0F1B14AB" w14:textId="77777777" w:rsidR="00D67F13" w:rsidRDefault="00D67F13" w:rsidP="00D67F13">
      <w:pPr>
        <w:spacing w:after="0" w:line="240" w:lineRule="auto"/>
        <w:ind w:right="1961"/>
        <w:rPr>
          <w:rFonts w:ascii="Arial" w:hAnsi="Arial" w:cs="Arial"/>
          <w:lang w:val="es-ES_tradnl"/>
        </w:rPr>
      </w:pPr>
    </w:p>
    <w:p w14:paraId="4D5D35CF" w14:textId="760D78AD" w:rsidR="00D67F13" w:rsidRPr="00D67F13" w:rsidRDefault="00D67F13" w:rsidP="00D67F13">
      <w:pPr>
        <w:spacing w:after="0" w:line="240" w:lineRule="auto"/>
        <w:ind w:left="567" w:right="1961"/>
        <w:rPr>
          <w:rFonts w:ascii="Arial" w:hAnsi="Arial" w:cs="Arial"/>
          <w:lang w:val="es-ES_tradnl"/>
        </w:rPr>
      </w:pPr>
      <w:r w:rsidRPr="00D67F13">
        <w:rPr>
          <w:rFonts w:ascii="Arial" w:hAnsi="Arial" w:cs="Arial"/>
          <w:lang w:val="es-ES"/>
        </w:rPr>
        <w:t>A continuación se incluyen algunos ejemplos de lo que han dicho</w:t>
      </w:r>
      <w:r>
        <w:rPr>
          <w:rFonts w:ascii="Arial" w:hAnsi="Arial" w:cs="Arial"/>
          <w:lang w:val="es-ES"/>
        </w:rPr>
        <w:t xml:space="preserve"> los tribunales al desestimar la</w:t>
      </w:r>
      <w:r w:rsidRPr="00D67F13">
        <w:rPr>
          <w:rFonts w:ascii="Arial" w:hAnsi="Arial" w:cs="Arial"/>
          <w:lang w:val="es-ES"/>
        </w:rPr>
        <w:t xml:space="preserve">s </w:t>
      </w:r>
      <w:r>
        <w:rPr>
          <w:rFonts w:ascii="Arial" w:hAnsi="Arial" w:cs="Arial"/>
          <w:lang w:val="es-ES"/>
        </w:rPr>
        <w:t>objeciones</w:t>
      </w:r>
      <w:r w:rsidRPr="00D67F13">
        <w:rPr>
          <w:rFonts w:ascii="Arial" w:hAnsi="Arial" w:cs="Arial"/>
          <w:lang w:val="es-ES"/>
        </w:rPr>
        <w:t xml:space="preserve"> legales de las compañías tabacaleras contra el empaquetado </w:t>
      </w:r>
      <w:r>
        <w:rPr>
          <w:rFonts w:ascii="Arial" w:hAnsi="Arial" w:cs="Arial"/>
          <w:lang w:val="es-ES"/>
        </w:rPr>
        <w:t>neutro</w:t>
      </w:r>
      <w:r w:rsidRPr="00D67F13">
        <w:rPr>
          <w:rFonts w:ascii="Arial" w:hAnsi="Arial" w:cs="Arial"/>
          <w:lang w:val="es-ES"/>
        </w:rPr>
        <w:t>. Se encuentran disponibles resúmenes y análisis más detallados [los números de los párrafos de las sentencias</w:t>
      </w:r>
      <w:r>
        <w:rPr>
          <w:rFonts w:ascii="Arial" w:hAnsi="Arial" w:cs="Arial"/>
          <w:lang w:val="es-ES"/>
        </w:rPr>
        <w:t xml:space="preserve"> están</w:t>
      </w:r>
      <w:r w:rsidRPr="00D67F13">
        <w:rPr>
          <w:rFonts w:ascii="Arial" w:hAnsi="Arial" w:cs="Arial"/>
          <w:lang w:val="es-ES"/>
        </w:rPr>
        <w:t xml:space="preserve"> entre corchetes].</w:t>
      </w:r>
    </w:p>
    <w:p w14:paraId="1CF4A29D" w14:textId="77777777" w:rsidR="00D67F13" w:rsidRPr="00043797" w:rsidRDefault="00D67F13" w:rsidP="00F608C9">
      <w:pPr>
        <w:spacing w:after="0" w:line="240" w:lineRule="auto"/>
        <w:ind w:left="567" w:right="1961"/>
        <w:rPr>
          <w:rFonts w:ascii="Arial" w:hAnsi="Arial" w:cs="Arial"/>
          <w:lang w:val="es-ES_tradnl"/>
        </w:rPr>
      </w:pPr>
    </w:p>
    <w:p w14:paraId="2B967C08" w14:textId="77777777" w:rsidR="003441FD" w:rsidRPr="00043797" w:rsidRDefault="003441FD" w:rsidP="00F608C9">
      <w:pPr>
        <w:spacing w:after="0" w:line="240" w:lineRule="auto"/>
        <w:ind w:left="567" w:right="1961"/>
        <w:rPr>
          <w:rFonts w:ascii="Arial" w:hAnsi="Arial" w:cs="Arial"/>
          <w:b/>
          <w:color w:val="666633"/>
          <w:lang w:val="es-ES_tradnl"/>
        </w:rPr>
      </w:pPr>
    </w:p>
    <w:p w14:paraId="4721190B" w14:textId="77777777" w:rsidR="003441FD" w:rsidRPr="00043797" w:rsidRDefault="003441FD" w:rsidP="00F608C9">
      <w:pPr>
        <w:pStyle w:val="ListParagraph"/>
        <w:numPr>
          <w:ilvl w:val="0"/>
          <w:numId w:val="8"/>
        </w:numPr>
        <w:spacing w:after="80" w:line="240" w:lineRule="auto"/>
        <w:ind w:left="567" w:right="1961" w:firstLine="0"/>
        <w:contextualSpacing w:val="0"/>
        <w:rPr>
          <w:rFonts w:ascii="Arial" w:hAnsi="Arial" w:cs="Arial"/>
          <w:lang w:val="es-ES_tradnl"/>
        </w:rPr>
        <w:sectPr w:rsidR="003441FD" w:rsidRPr="00043797" w:rsidSect="003441FD">
          <w:endnotePr>
            <w:numFmt w:val="decimal"/>
          </w:endnotePr>
          <w:type w:val="continuous"/>
          <w:pgSz w:w="11906" w:h="16838"/>
          <w:pgMar w:top="720" w:right="720" w:bottom="720" w:left="720" w:header="708" w:footer="708" w:gutter="0"/>
          <w:cols w:space="708"/>
          <w:docGrid w:linePitch="360"/>
        </w:sectPr>
      </w:pPr>
    </w:p>
    <w:p w14:paraId="5BCAA88A" w14:textId="15C893AE" w:rsidR="003441FD" w:rsidRPr="00043797" w:rsidRDefault="00D67F13" w:rsidP="00D67F13">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s-ES_tradnl"/>
        </w:rPr>
      </w:pPr>
      <w:r>
        <w:rPr>
          <w:rFonts w:ascii="Arial" w:hAnsi="Arial" w:cs="Arial"/>
          <w:color w:val="833C0B" w:themeColor="accent2" w:themeShade="80"/>
          <w:lang w:val="es-ES_tradnl"/>
        </w:rPr>
        <w:lastRenderedPageBreak/>
        <w:t>El empaquetado neutro no está “justificado”, no es “necesario” ni “proporcionado” porque no hay evidencia de que la política funcionará para reducir las tasas de tabaquismo</w:t>
      </w:r>
      <w:r w:rsidR="003441FD" w:rsidRPr="00043797">
        <w:rPr>
          <w:rFonts w:ascii="Arial" w:hAnsi="Arial" w:cs="Arial"/>
          <w:color w:val="833C0B" w:themeColor="accent2" w:themeShade="80"/>
          <w:lang w:val="es-ES_tradnl"/>
        </w:rPr>
        <w:t xml:space="preserve">. </w:t>
      </w:r>
    </w:p>
    <w:p w14:paraId="08B0A568" w14:textId="6C9839E4" w:rsidR="003441FD" w:rsidRPr="00D67F13" w:rsidRDefault="00D67F13" w:rsidP="00D67F13">
      <w:pPr>
        <w:pStyle w:val="ListParagraph"/>
        <w:spacing w:after="80" w:line="240" w:lineRule="auto"/>
        <w:ind w:left="567" w:right="1961"/>
        <w:jc w:val="both"/>
        <w:rPr>
          <w:rFonts w:ascii="Arial" w:hAnsi="Arial" w:cs="Arial"/>
          <w:lang w:val="es-ES_tradnl"/>
        </w:rPr>
      </w:pPr>
      <w:r>
        <w:rPr>
          <w:rFonts w:ascii="Arial" w:hAnsi="Arial" w:cs="Arial"/>
          <w:b/>
          <w:lang w:val="es-ES_tradnl"/>
        </w:rPr>
        <w:t>Tribunal Supremo de</w:t>
      </w:r>
      <w:r w:rsidR="009C714A">
        <w:rPr>
          <w:rFonts w:ascii="Arial" w:hAnsi="Arial" w:cs="Arial"/>
          <w:b/>
          <w:lang w:val="es-ES_tradnl"/>
        </w:rPr>
        <w:t>l</w:t>
      </w:r>
      <w:r>
        <w:rPr>
          <w:rFonts w:ascii="Arial" w:hAnsi="Arial" w:cs="Arial"/>
          <w:b/>
          <w:lang w:val="es-ES_tradnl"/>
        </w:rPr>
        <w:t xml:space="preserve"> Reino Unido</w:t>
      </w:r>
      <w:r w:rsidR="003441FD" w:rsidRPr="00043797">
        <w:rPr>
          <w:rFonts w:ascii="Arial" w:hAnsi="Arial" w:cs="Arial"/>
          <w:lang w:val="es-ES_tradnl"/>
        </w:rPr>
        <w:t xml:space="preserve">: </w:t>
      </w:r>
      <w:r>
        <w:rPr>
          <w:rFonts w:ascii="Arial" w:hAnsi="Arial" w:cs="Arial"/>
          <w:lang w:val="es-ES_tradnl"/>
        </w:rPr>
        <w:t>“</w:t>
      </w:r>
      <w:r w:rsidRPr="00D67F13">
        <w:rPr>
          <w:rFonts w:ascii="Arial" w:hAnsi="Arial" w:cs="Arial"/>
          <w:i/>
          <w:iCs/>
          <w:lang w:val="es-ES"/>
        </w:rPr>
        <w:t>A mi juicio, la evidencia cualitativa en la que se basa [</w:t>
      </w:r>
      <w:r>
        <w:rPr>
          <w:rFonts w:ascii="Arial" w:hAnsi="Arial" w:cs="Arial"/>
          <w:i/>
          <w:iCs/>
          <w:lang w:val="es-ES"/>
        </w:rPr>
        <w:t xml:space="preserve">el </w:t>
      </w:r>
      <w:r w:rsidRPr="00D67F13">
        <w:rPr>
          <w:rFonts w:ascii="Arial" w:hAnsi="Arial" w:cs="Arial"/>
          <w:i/>
          <w:iCs/>
          <w:lang w:val="es-ES"/>
        </w:rPr>
        <w:t>Gobierno] es convincente, sustancial y abrumadoramente unidireccional en su conclusión</w:t>
      </w:r>
      <w:r>
        <w:rPr>
          <w:rFonts w:ascii="Arial" w:hAnsi="Arial" w:cs="Arial"/>
          <w:i/>
          <w:iCs/>
          <w:lang w:val="es-ES"/>
        </w:rPr>
        <w:t>”</w:t>
      </w:r>
      <w:r>
        <w:rPr>
          <w:rFonts w:ascii="Arial" w:hAnsi="Arial" w:cs="Arial"/>
          <w:lang w:val="es-ES"/>
        </w:rPr>
        <w:t xml:space="preserve"> </w:t>
      </w:r>
      <w:r w:rsidRPr="00D67F13">
        <w:rPr>
          <w:rFonts w:ascii="Arial" w:hAnsi="Arial" w:cs="Arial"/>
          <w:lang w:val="es-ES"/>
        </w:rPr>
        <w:t xml:space="preserve">de que el empaquetado </w:t>
      </w:r>
      <w:r>
        <w:rPr>
          <w:rFonts w:ascii="Arial" w:hAnsi="Arial" w:cs="Arial"/>
          <w:lang w:val="es-ES"/>
        </w:rPr>
        <w:t>neutro</w:t>
      </w:r>
      <w:r w:rsidRPr="00D67F13">
        <w:rPr>
          <w:rFonts w:ascii="Arial" w:hAnsi="Arial" w:cs="Arial"/>
          <w:lang w:val="es-ES"/>
        </w:rPr>
        <w:t xml:space="preserve"> será efectivo".</w:t>
      </w:r>
      <w:r w:rsidR="003441FD" w:rsidRPr="00D67F13">
        <w:rPr>
          <w:rFonts w:ascii="Arial" w:hAnsi="Arial" w:cs="Arial"/>
          <w:lang w:val="es-ES_tradnl"/>
        </w:rPr>
        <w:t xml:space="preserve"> [¶592] </w:t>
      </w:r>
    </w:p>
    <w:p w14:paraId="7BC63023" w14:textId="25CD16DF" w:rsidR="003441FD" w:rsidRPr="00043797" w:rsidRDefault="00D67F13" w:rsidP="00D67F13">
      <w:pPr>
        <w:pStyle w:val="ListParagraph"/>
        <w:spacing w:after="0" w:line="240" w:lineRule="auto"/>
        <w:ind w:left="567" w:right="1961"/>
        <w:jc w:val="both"/>
        <w:rPr>
          <w:rFonts w:ascii="Arial" w:hAnsi="Arial" w:cs="Arial"/>
          <w:lang w:val="es-ES_tradnl"/>
        </w:rPr>
      </w:pPr>
      <w:r>
        <w:rPr>
          <w:rFonts w:ascii="Arial" w:hAnsi="Arial" w:cs="Arial"/>
          <w:b/>
          <w:lang w:val="es-ES_tradnl"/>
        </w:rPr>
        <w:t xml:space="preserve">Tribunal Supremo de </w:t>
      </w:r>
      <w:r w:rsidR="003441FD" w:rsidRPr="00043797">
        <w:rPr>
          <w:rFonts w:ascii="Arial" w:hAnsi="Arial" w:cs="Arial"/>
          <w:b/>
          <w:lang w:val="es-ES_tradnl"/>
        </w:rPr>
        <w:t>Australia</w:t>
      </w:r>
      <w:r w:rsidR="003441FD" w:rsidRPr="00043797">
        <w:rPr>
          <w:rFonts w:ascii="Arial" w:hAnsi="Arial" w:cs="Arial"/>
          <w:lang w:val="es-ES_tradnl"/>
        </w:rPr>
        <w:t xml:space="preserve">: </w:t>
      </w:r>
      <w:r>
        <w:rPr>
          <w:rFonts w:ascii="Arial" w:hAnsi="Arial" w:cs="Arial"/>
          <w:lang w:val="es-ES_tradnl"/>
        </w:rPr>
        <w:t xml:space="preserve">Los requisitos del empaquetado neutro </w:t>
      </w:r>
      <w:r w:rsidRPr="00D67F13">
        <w:rPr>
          <w:rFonts w:ascii="Arial" w:hAnsi="Arial" w:cs="Arial"/>
          <w:i/>
          <w:iCs/>
          <w:lang w:val="es-ES_tradnl"/>
        </w:rPr>
        <w:t>“no son diferentes de ninguna legislación que requiere etiquetado que previene sobre el uso o mal uso de un producto</w:t>
      </w:r>
      <w:r w:rsidR="003441FD" w:rsidRPr="00D67F13">
        <w:rPr>
          <w:rFonts w:ascii="Arial" w:hAnsi="Arial" w:cs="Arial"/>
          <w:i/>
          <w:iCs/>
          <w:lang w:val="es-ES_tradnl"/>
        </w:rPr>
        <w:t>”</w:t>
      </w:r>
      <w:r>
        <w:rPr>
          <w:rFonts w:ascii="Arial" w:hAnsi="Arial" w:cs="Arial"/>
          <w:lang w:val="es-ES_tradnl"/>
        </w:rPr>
        <w:t>.</w:t>
      </w:r>
      <w:r w:rsidR="003441FD" w:rsidRPr="00043797">
        <w:rPr>
          <w:rFonts w:ascii="Arial" w:hAnsi="Arial" w:cs="Arial"/>
          <w:lang w:val="es-ES_tradnl"/>
        </w:rPr>
        <w:t xml:space="preserve"> [¶181]</w:t>
      </w:r>
    </w:p>
    <w:p w14:paraId="7D31B91B" w14:textId="77777777" w:rsidR="003441FD" w:rsidRPr="00043797" w:rsidRDefault="003441FD" w:rsidP="00F608C9">
      <w:pPr>
        <w:pStyle w:val="ListParagraph"/>
        <w:spacing w:after="0" w:line="240" w:lineRule="auto"/>
        <w:ind w:left="567" w:right="1961"/>
        <w:jc w:val="both"/>
        <w:rPr>
          <w:rFonts w:ascii="Arial" w:hAnsi="Arial" w:cs="Arial"/>
          <w:lang w:val="es-ES_tradnl"/>
        </w:rPr>
      </w:pPr>
    </w:p>
    <w:p w14:paraId="77972D87" w14:textId="2CFC7778" w:rsidR="003441FD" w:rsidRPr="00043797" w:rsidRDefault="00D67F13" w:rsidP="00D67F13">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s-ES_tradnl"/>
        </w:rPr>
      </w:pPr>
      <w:r>
        <w:rPr>
          <w:rFonts w:ascii="Arial" w:hAnsi="Arial" w:cs="Arial"/>
          <w:color w:val="833C0B" w:themeColor="accent2" w:themeShade="80"/>
          <w:lang w:val="es-ES_tradnl"/>
        </w:rPr>
        <w:t>El empaquetado neutro es una “expropiación”, “privación” o “adquisición” de los derechos de propiedad de sus marcas registradas</w:t>
      </w:r>
      <w:r w:rsidR="003441FD" w:rsidRPr="00043797">
        <w:rPr>
          <w:rFonts w:ascii="Arial" w:hAnsi="Arial" w:cs="Arial"/>
          <w:color w:val="833C0B" w:themeColor="accent2" w:themeShade="80"/>
          <w:lang w:val="es-ES_tradnl"/>
        </w:rPr>
        <w:t>.</w:t>
      </w:r>
    </w:p>
    <w:p w14:paraId="7DBA8375" w14:textId="158FB77A" w:rsidR="003441FD" w:rsidRPr="00043797" w:rsidRDefault="00165DA1" w:rsidP="00165DA1">
      <w:pPr>
        <w:pStyle w:val="ListParagraph"/>
        <w:spacing w:after="0" w:line="240" w:lineRule="auto"/>
        <w:ind w:left="567" w:right="1961"/>
        <w:jc w:val="both"/>
        <w:rPr>
          <w:rFonts w:ascii="Arial" w:hAnsi="Arial" w:cs="Arial"/>
          <w:lang w:val="es-ES_tradnl"/>
        </w:rPr>
      </w:pPr>
      <w:r>
        <w:rPr>
          <w:rFonts w:ascii="Arial" w:hAnsi="Arial" w:cs="Arial"/>
          <w:b/>
          <w:lang w:val="es-ES_tradnl"/>
        </w:rPr>
        <w:t>Tribunal Constitucional de Francia</w:t>
      </w:r>
      <w:r w:rsidR="003441FD" w:rsidRPr="00043797">
        <w:rPr>
          <w:rFonts w:ascii="Arial" w:hAnsi="Arial" w:cs="Arial"/>
          <w:lang w:val="es-ES_tradnl"/>
        </w:rPr>
        <w:t>: “</w:t>
      </w:r>
      <w:r>
        <w:rPr>
          <w:rFonts w:ascii="Arial" w:hAnsi="Arial" w:cs="Arial"/>
          <w:i/>
          <w:iCs/>
          <w:lang w:val="es-ES_tradnl"/>
        </w:rPr>
        <w:t>Por lo tanto, aquí no se pone en cuestión una expropiación (…) sino una limitación de los derechos de propiedad justificada por el objetivo de proteger la salud pública</w:t>
      </w:r>
      <w:r w:rsidR="003441FD" w:rsidRPr="00043797">
        <w:rPr>
          <w:rFonts w:ascii="Arial" w:hAnsi="Arial" w:cs="Arial"/>
          <w:lang w:val="es-ES_tradnl"/>
        </w:rPr>
        <w:t>”</w:t>
      </w:r>
      <w:r>
        <w:rPr>
          <w:rFonts w:ascii="Arial" w:hAnsi="Arial" w:cs="Arial"/>
          <w:lang w:val="es-ES_tradnl"/>
        </w:rPr>
        <w:t>.</w:t>
      </w:r>
      <w:r w:rsidR="003441FD" w:rsidRPr="00043797">
        <w:rPr>
          <w:rFonts w:ascii="Arial" w:hAnsi="Arial" w:cs="Arial"/>
          <w:lang w:val="es-ES_tradnl"/>
        </w:rPr>
        <w:t xml:space="preserve"> [¶20]</w:t>
      </w:r>
    </w:p>
    <w:p w14:paraId="77522399" w14:textId="15E79E45" w:rsidR="003441FD" w:rsidRPr="00043797" w:rsidRDefault="00165DA1" w:rsidP="00165DA1">
      <w:pPr>
        <w:pStyle w:val="ListParagraph"/>
        <w:spacing w:after="0" w:line="240" w:lineRule="auto"/>
        <w:ind w:left="567" w:right="1961"/>
        <w:jc w:val="both"/>
        <w:rPr>
          <w:rFonts w:ascii="Arial" w:hAnsi="Arial" w:cs="Arial"/>
          <w:lang w:val="es-ES_tradnl"/>
        </w:rPr>
      </w:pPr>
      <w:r>
        <w:rPr>
          <w:rFonts w:ascii="Arial" w:hAnsi="Arial" w:cs="Arial"/>
          <w:b/>
          <w:lang w:val="es-ES_tradnl"/>
        </w:rPr>
        <w:t>Tribunal Supremo de Australia</w:t>
      </w:r>
      <w:r w:rsidR="003441FD" w:rsidRPr="00043797">
        <w:rPr>
          <w:rFonts w:ascii="Arial" w:hAnsi="Arial" w:cs="Arial"/>
          <w:lang w:val="es-ES_tradnl"/>
        </w:rPr>
        <w:t>: “</w:t>
      </w:r>
      <w:r>
        <w:rPr>
          <w:rFonts w:ascii="Arial" w:hAnsi="Arial" w:cs="Arial"/>
          <w:i/>
          <w:lang w:val="es-ES_tradnl"/>
        </w:rPr>
        <w:t xml:space="preserve">Ni la </w:t>
      </w:r>
      <w:r w:rsidR="003441FD" w:rsidRPr="00043797">
        <w:rPr>
          <w:rFonts w:ascii="Arial" w:hAnsi="Arial" w:cs="Arial"/>
          <w:i/>
          <w:lang w:val="es-ES_tradnl"/>
        </w:rPr>
        <w:t xml:space="preserve">Commonwealth </w:t>
      </w:r>
      <w:r>
        <w:rPr>
          <w:rFonts w:ascii="Arial" w:hAnsi="Arial" w:cs="Arial"/>
          <w:i/>
          <w:lang w:val="es-ES_tradnl"/>
        </w:rPr>
        <w:t xml:space="preserve">ni </w:t>
      </w:r>
      <w:r w:rsidR="0019224E">
        <w:rPr>
          <w:rFonts w:ascii="Arial" w:hAnsi="Arial" w:cs="Arial"/>
          <w:i/>
          <w:lang w:val="es-ES_tradnl"/>
        </w:rPr>
        <w:t>ninguna otra persona</w:t>
      </w:r>
      <w:r>
        <w:rPr>
          <w:rFonts w:ascii="Arial" w:hAnsi="Arial" w:cs="Arial"/>
          <w:i/>
          <w:lang w:val="es-ES_tradnl"/>
        </w:rPr>
        <w:t xml:space="preserve"> adquirió ninguna propiedad</w:t>
      </w:r>
      <w:r w:rsidR="003441FD" w:rsidRPr="00043797">
        <w:rPr>
          <w:rFonts w:ascii="Arial" w:hAnsi="Arial" w:cs="Arial"/>
          <w:lang w:val="es-ES_tradnl"/>
        </w:rPr>
        <w:t>”</w:t>
      </w:r>
      <w:r>
        <w:rPr>
          <w:rFonts w:ascii="Arial" w:hAnsi="Arial" w:cs="Arial"/>
          <w:lang w:val="es-ES_tradnl"/>
        </w:rPr>
        <w:t>.</w:t>
      </w:r>
      <w:r w:rsidR="003441FD" w:rsidRPr="00043797">
        <w:rPr>
          <w:rFonts w:ascii="Arial" w:hAnsi="Arial" w:cs="Arial"/>
          <w:lang w:val="es-ES_tradnl"/>
        </w:rPr>
        <w:t xml:space="preserve"> [</w:t>
      </w:r>
      <w:r>
        <w:rPr>
          <w:rFonts w:ascii="Arial" w:hAnsi="Arial" w:cs="Arial"/>
          <w:lang w:val="es-ES_tradnl"/>
        </w:rPr>
        <w:t>Resumen judicial oficial</w:t>
      </w:r>
      <w:r w:rsidR="003441FD" w:rsidRPr="00043797">
        <w:rPr>
          <w:rFonts w:ascii="Arial" w:hAnsi="Arial" w:cs="Arial"/>
          <w:lang w:val="es-ES_tradnl"/>
        </w:rPr>
        <w:t>]</w:t>
      </w:r>
    </w:p>
    <w:p w14:paraId="252CADC7" w14:textId="77777777" w:rsidR="003441FD" w:rsidRPr="00043797" w:rsidRDefault="003441FD" w:rsidP="00F608C9">
      <w:pPr>
        <w:pStyle w:val="ListParagraph"/>
        <w:spacing w:after="0" w:line="240" w:lineRule="auto"/>
        <w:ind w:left="567" w:right="1961"/>
        <w:jc w:val="both"/>
        <w:rPr>
          <w:rFonts w:ascii="Arial" w:hAnsi="Arial" w:cs="Arial"/>
          <w:lang w:val="es-ES_tradnl"/>
        </w:rPr>
      </w:pPr>
    </w:p>
    <w:p w14:paraId="3E13753F" w14:textId="29C8730E" w:rsidR="003441FD" w:rsidRPr="00043797" w:rsidRDefault="00165DA1" w:rsidP="00165DA1">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s-ES_tradnl"/>
        </w:rPr>
      </w:pPr>
      <w:r>
        <w:rPr>
          <w:rFonts w:ascii="Arial" w:hAnsi="Arial" w:cs="Arial"/>
          <w:color w:val="833C0B" w:themeColor="accent2" w:themeShade="80"/>
          <w:lang w:val="es-ES_tradnl"/>
        </w:rPr>
        <w:t>El empaquetado neutro es incompatible con las leyes de propiedad intelectual y el “derecho de uso” de una marca registrada</w:t>
      </w:r>
      <w:r w:rsidR="003441FD" w:rsidRPr="00043797">
        <w:rPr>
          <w:rFonts w:ascii="Arial" w:hAnsi="Arial" w:cs="Arial"/>
          <w:color w:val="833C0B" w:themeColor="accent2" w:themeShade="80"/>
          <w:lang w:val="es-ES_tradnl"/>
        </w:rPr>
        <w:t>.</w:t>
      </w:r>
    </w:p>
    <w:p w14:paraId="4A6AFDC4" w14:textId="102764E4" w:rsidR="00165DA1" w:rsidRPr="00165DA1" w:rsidRDefault="00165DA1" w:rsidP="00165DA1">
      <w:pPr>
        <w:pStyle w:val="ListParagraph"/>
        <w:spacing w:after="0" w:line="240" w:lineRule="auto"/>
        <w:ind w:left="567" w:right="1961"/>
        <w:jc w:val="both"/>
        <w:rPr>
          <w:rFonts w:ascii="Arial" w:hAnsi="Arial" w:cs="Arial"/>
          <w:lang w:val="es-ES_tradnl"/>
        </w:rPr>
      </w:pPr>
      <w:r>
        <w:rPr>
          <w:rFonts w:ascii="Arial" w:hAnsi="Arial" w:cs="Arial"/>
          <w:b/>
          <w:lang w:val="es-ES_tradnl"/>
        </w:rPr>
        <w:t>Tribunal Supremo de Reino Unido</w:t>
      </w:r>
      <w:r w:rsidR="003441FD" w:rsidRPr="00043797">
        <w:rPr>
          <w:rFonts w:ascii="Arial" w:hAnsi="Arial" w:cs="Arial"/>
          <w:lang w:val="es-ES_tradnl"/>
        </w:rPr>
        <w:t>:</w:t>
      </w:r>
      <w:r>
        <w:rPr>
          <w:rFonts w:ascii="Arial" w:hAnsi="Arial" w:cs="Arial"/>
          <w:lang w:val="es-ES_tradnl"/>
        </w:rPr>
        <w:t xml:space="preserve"> </w:t>
      </w:r>
      <w:r>
        <w:rPr>
          <w:rFonts w:ascii="Arial" w:hAnsi="Arial" w:cs="Arial"/>
          <w:lang w:val="es-ES"/>
        </w:rPr>
        <w:t>“</w:t>
      </w:r>
      <w:r w:rsidRPr="00165DA1">
        <w:rPr>
          <w:rFonts w:ascii="Arial" w:hAnsi="Arial" w:cs="Arial"/>
          <w:i/>
          <w:iCs/>
          <w:lang w:val="es-ES"/>
        </w:rPr>
        <w:t>No es parte del derecho común internacional, nacional o de la UE sobre propiedad intelectual que la función legítima de una marca (es decir, su esencia o sustancia) deba definirse para incluir un derecho a usar la marca para dañar la salud pública</w:t>
      </w:r>
      <w:r>
        <w:rPr>
          <w:rFonts w:ascii="Arial" w:hAnsi="Arial" w:cs="Arial"/>
          <w:lang w:val="es-ES"/>
        </w:rPr>
        <w:t>”</w:t>
      </w:r>
      <w:r w:rsidRPr="00165DA1">
        <w:rPr>
          <w:rFonts w:ascii="Arial" w:hAnsi="Arial" w:cs="Arial"/>
          <w:lang w:val="es-ES"/>
        </w:rPr>
        <w:t>.</w:t>
      </w:r>
      <w:r w:rsidR="003441FD" w:rsidRPr="00165DA1">
        <w:rPr>
          <w:rFonts w:ascii="Arial" w:hAnsi="Arial" w:cs="Arial"/>
          <w:lang w:val="es-ES_tradnl"/>
        </w:rPr>
        <w:t xml:space="preserve"> [¶40]</w:t>
      </w:r>
    </w:p>
    <w:p w14:paraId="28807DC0" w14:textId="77777777" w:rsidR="003441FD" w:rsidRPr="00043797" w:rsidRDefault="003441FD" w:rsidP="00F608C9">
      <w:pPr>
        <w:pStyle w:val="ListParagraph"/>
        <w:spacing w:after="0" w:line="240" w:lineRule="auto"/>
        <w:ind w:left="567" w:right="1961"/>
        <w:jc w:val="both"/>
        <w:rPr>
          <w:rFonts w:ascii="Arial" w:hAnsi="Arial" w:cs="Arial"/>
          <w:lang w:val="es-ES_tradnl"/>
        </w:rPr>
      </w:pPr>
    </w:p>
    <w:p w14:paraId="6464FA47" w14:textId="2321BECC" w:rsidR="003441FD" w:rsidRPr="00043797" w:rsidRDefault="00165DA1" w:rsidP="00165DA1">
      <w:pPr>
        <w:pStyle w:val="ListParagraph"/>
        <w:numPr>
          <w:ilvl w:val="0"/>
          <w:numId w:val="8"/>
        </w:numPr>
        <w:spacing w:after="80" w:line="240" w:lineRule="auto"/>
        <w:ind w:left="567" w:right="1961" w:firstLine="0"/>
        <w:contextualSpacing w:val="0"/>
        <w:jc w:val="both"/>
        <w:rPr>
          <w:rFonts w:ascii="Arial" w:hAnsi="Arial" w:cs="Arial"/>
          <w:color w:val="833C0B" w:themeColor="accent2" w:themeShade="80"/>
          <w:lang w:val="es-ES_tradnl"/>
        </w:rPr>
      </w:pPr>
      <w:r>
        <w:rPr>
          <w:rFonts w:ascii="Arial" w:hAnsi="Arial" w:cs="Arial"/>
          <w:color w:val="833C0B" w:themeColor="accent2" w:themeShade="80"/>
          <w:lang w:val="es-ES_tradnl"/>
        </w:rPr>
        <w:lastRenderedPageBreak/>
        <w:t xml:space="preserve">El empaquetado neutro </w:t>
      </w:r>
      <w:r w:rsidR="009C714A">
        <w:rPr>
          <w:rFonts w:ascii="Arial" w:hAnsi="Arial" w:cs="Arial"/>
          <w:color w:val="833C0B" w:themeColor="accent2" w:themeShade="80"/>
          <w:lang w:val="es-ES_tradnl"/>
        </w:rPr>
        <w:t xml:space="preserve">incumple </w:t>
      </w:r>
      <w:r>
        <w:rPr>
          <w:rFonts w:ascii="Arial" w:hAnsi="Arial" w:cs="Arial"/>
          <w:color w:val="833C0B" w:themeColor="accent2" w:themeShade="80"/>
          <w:lang w:val="es-ES_tradnl"/>
        </w:rPr>
        <w:t>las normas de la Organización Mundial del Comercio y los tratados internacionales</w:t>
      </w:r>
    </w:p>
    <w:p w14:paraId="10E2533B" w14:textId="24F94D53" w:rsidR="003441FD" w:rsidRPr="00165DA1" w:rsidRDefault="00165DA1" w:rsidP="00165DA1">
      <w:pPr>
        <w:pStyle w:val="ListParagraph"/>
        <w:spacing w:after="0" w:line="240" w:lineRule="auto"/>
        <w:ind w:left="567" w:right="1961"/>
        <w:jc w:val="both"/>
        <w:rPr>
          <w:rFonts w:ascii="Arial" w:hAnsi="Arial" w:cs="Arial"/>
          <w:lang w:val="es-ES_tradnl"/>
        </w:rPr>
      </w:pPr>
      <w:r>
        <w:rPr>
          <w:rFonts w:ascii="Arial" w:hAnsi="Arial" w:cs="Arial"/>
          <w:b/>
          <w:lang w:val="es-ES_tradnl"/>
        </w:rPr>
        <w:t>Consejo de Estado de Francia</w:t>
      </w:r>
      <w:r w:rsidR="003441FD" w:rsidRPr="00043797">
        <w:rPr>
          <w:rFonts w:ascii="Arial" w:hAnsi="Arial" w:cs="Arial"/>
          <w:lang w:val="es-ES_tradnl"/>
        </w:rPr>
        <w:t xml:space="preserve">: </w:t>
      </w:r>
      <w:r w:rsidRPr="00165DA1">
        <w:rPr>
          <w:rFonts w:ascii="Arial" w:hAnsi="Arial" w:cs="Arial"/>
          <w:lang w:val="es-ES"/>
        </w:rPr>
        <w:t>Las disposiciones del Acuerdo ADPIC de l</w:t>
      </w:r>
      <w:r>
        <w:rPr>
          <w:rFonts w:ascii="Arial" w:hAnsi="Arial" w:cs="Arial"/>
          <w:lang w:val="es-ES"/>
        </w:rPr>
        <w:t>a OMC y la Convención de París “</w:t>
      </w:r>
      <w:r w:rsidRPr="00165DA1">
        <w:rPr>
          <w:rFonts w:ascii="Arial" w:hAnsi="Arial" w:cs="Arial"/>
          <w:i/>
          <w:iCs/>
          <w:lang w:val="es-ES"/>
        </w:rPr>
        <w:t>en ningún caso prohíben a los Estados partes ejercer la opción, que siempre está abierta para ellos, de adoptar las medidas necesarias para proteger la salud pública, que pueden aplicarse, según corresponda en función del objetivo, a ciertas categorías de productos</w:t>
      </w:r>
      <w:r>
        <w:rPr>
          <w:rFonts w:ascii="Arial" w:hAnsi="Arial" w:cs="Arial"/>
          <w:lang w:val="es-ES"/>
        </w:rPr>
        <w:t>”</w:t>
      </w:r>
      <w:r w:rsidRPr="00165DA1">
        <w:rPr>
          <w:rFonts w:ascii="Arial" w:hAnsi="Arial" w:cs="Arial"/>
          <w:lang w:val="es-ES"/>
        </w:rPr>
        <w:t>.</w:t>
      </w:r>
      <w:r w:rsidR="003441FD" w:rsidRPr="00165DA1">
        <w:rPr>
          <w:rFonts w:ascii="Arial" w:hAnsi="Arial" w:cs="Arial"/>
          <w:lang w:val="es-ES_tradnl"/>
        </w:rPr>
        <w:t xml:space="preserve"> [¶22]</w:t>
      </w:r>
    </w:p>
    <w:p w14:paraId="6D6187D2" w14:textId="44E6D33C" w:rsidR="000956C8" w:rsidRPr="00043797" w:rsidRDefault="000956C8" w:rsidP="00A80810">
      <w:pPr>
        <w:pStyle w:val="ListParagraph"/>
        <w:spacing w:after="0" w:line="240" w:lineRule="auto"/>
        <w:ind w:left="567" w:right="2244"/>
        <w:jc w:val="both"/>
        <w:rPr>
          <w:rFonts w:ascii="Arial" w:hAnsi="Arial" w:cs="Arial"/>
          <w:lang w:val="es-ES_tradnl"/>
        </w:rPr>
      </w:pPr>
    </w:p>
    <w:sectPr w:rsidR="000956C8" w:rsidRPr="00043797" w:rsidSect="00530F53">
      <w:endnotePr>
        <w:numFmt w:val="decimal"/>
      </w:endnotePr>
      <w:type w:val="continuous"/>
      <w:pgSz w:w="11906" w:h="16838"/>
      <w:pgMar w:top="720" w:right="720" w:bottom="720" w:left="720" w:header="708" w:footer="708" w:gutter="0"/>
      <w:cols w:space="286"/>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115386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C189" w14:textId="77777777" w:rsidR="00476936" w:rsidRDefault="00476936" w:rsidP="003441FD">
      <w:pPr>
        <w:spacing w:after="0" w:line="240" w:lineRule="auto"/>
      </w:pPr>
      <w:r>
        <w:separator/>
      </w:r>
    </w:p>
  </w:endnote>
  <w:endnote w:type="continuationSeparator" w:id="0">
    <w:p w14:paraId="1CE9B401" w14:textId="77777777" w:rsidR="00476936" w:rsidRDefault="00476936" w:rsidP="003441FD">
      <w:pPr>
        <w:spacing w:after="0" w:line="240" w:lineRule="auto"/>
      </w:pPr>
      <w:r>
        <w:continuationSeparator/>
      </w:r>
    </w:p>
  </w:endnote>
  <w:endnote w:id="1">
    <w:p w14:paraId="3F626384" w14:textId="7F07B754" w:rsidR="001E676F" w:rsidRPr="00501AF4" w:rsidRDefault="001E676F" w:rsidP="006D5004">
      <w:pPr>
        <w:pStyle w:val="EndnoteText"/>
        <w:ind w:right="2244"/>
        <w:rPr>
          <w:sz w:val="18"/>
          <w:szCs w:val="18"/>
        </w:rPr>
      </w:pPr>
      <w:r w:rsidRPr="00501AF4">
        <w:rPr>
          <w:rStyle w:val="EndnoteReference"/>
          <w:sz w:val="18"/>
          <w:szCs w:val="18"/>
          <w:lang w:val="es-ES_tradnl"/>
        </w:rPr>
        <w:endnoteRef/>
      </w:r>
      <w:r w:rsidR="009C714A" w:rsidRPr="00501AF4">
        <w:rPr>
          <w:sz w:val="18"/>
          <w:szCs w:val="18"/>
          <w:lang w:val="es-ES_tradnl"/>
        </w:rPr>
        <w:t xml:space="preserve"> </w:t>
      </w:r>
      <w:r w:rsidR="009C714A" w:rsidRPr="00501AF4">
        <w:rPr>
          <w:sz w:val="18"/>
          <w:szCs w:val="18"/>
        </w:rPr>
        <w:t xml:space="preserve">JT International SA </w:t>
      </w:r>
      <w:r w:rsidR="009C714A" w:rsidRPr="00501AF4">
        <w:rPr>
          <w:i/>
          <w:sz w:val="18"/>
          <w:szCs w:val="18"/>
        </w:rPr>
        <w:t>v.</w:t>
      </w:r>
      <w:r w:rsidR="009C714A" w:rsidRPr="00501AF4">
        <w:rPr>
          <w:sz w:val="18"/>
          <w:szCs w:val="18"/>
        </w:rPr>
        <w:t xml:space="preserve"> The Commonwealth of Australia [2012] HCA 43, High Court of Australia, </w:t>
      </w:r>
      <w:proofErr w:type="spellStart"/>
      <w:r w:rsidR="009C714A" w:rsidRPr="00501AF4">
        <w:rPr>
          <w:sz w:val="18"/>
          <w:szCs w:val="18"/>
        </w:rPr>
        <w:t>orden</w:t>
      </w:r>
      <w:proofErr w:type="spellEnd"/>
      <w:r w:rsidR="009C714A" w:rsidRPr="00501AF4">
        <w:rPr>
          <w:sz w:val="18"/>
          <w:szCs w:val="18"/>
        </w:rPr>
        <w:t xml:space="preserve"> 15 de </w:t>
      </w:r>
      <w:proofErr w:type="spellStart"/>
      <w:r w:rsidR="009C714A" w:rsidRPr="00501AF4">
        <w:rPr>
          <w:sz w:val="18"/>
          <w:szCs w:val="18"/>
        </w:rPr>
        <w:t>agosto</w:t>
      </w:r>
      <w:proofErr w:type="spellEnd"/>
      <w:r w:rsidR="009C714A" w:rsidRPr="00501AF4">
        <w:rPr>
          <w:sz w:val="18"/>
          <w:szCs w:val="18"/>
        </w:rPr>
        <w:t xml:space="preserve"> de 2012, Reasons October 5, 2012.</w:t>
      </w:r>
    </w:p>
  </w:endnote>
  <w:endnote w:id="2">
    <w:p w14:paraId="3C909831" w14:textId="2E96D32D" w:rsidR="001E676F" w:rsidRPr="00501AF4" w:rsidRDefault="001E676F" w:rsidP="006D5004">
      <w:pPr>
        <w:pStyle w:val="EndnoteText"/>
        <w:ind w:right="2244"/>
        <w:rPr>
          <w:sz w:val="18"/>
          <w:szCs w:val="18"/>
          <w:lang w:val="es-ES_tradnl"/>
        </w:rPr>
      </w:pPr>
      <w:r w:rsidRPr="00501AF4">
        <w:rPr>
          <w:rStyle w:val="EndnoteReference"/>
          <w:sz w:val="18"/>
          <w:szCs w:val="18"/>
          <w:lang w:val="es-ES_tradnl"/>
        </w:rPr>
        <w:endnoteRef/>
      </w:r>
      <w:r w:rsidRPr="00501AF4">
        <w:rPr>
          <w:sz w:val="18"/>
          <w:szCs w:val="18"/>
          <w:lang w:val="es-ES_tradnl"/>
        </w:rPr>
        <w:t xml:space="preserve"> </w:t>
      </w:r>
      <w:proofErr w:type="gramStart"/>
      <w:r w:rsidR="009C714A" w:rsidRPr="00501AF4">
        <w:rPr>
          <w:sz w:val="18"/>
          <w:szCs w:val="18"/>
        </w:rPr>
        <w:t xml:space="preserve">Philip Morris Asia Limited </w:t>
      </w:r>
      <w:r w:rsidR="009C714A" w:rsidRPr="00501AF4">
        <w:rPr>
          <w:i/>
          <w:sz w:val="18"/>
          <w:szCs w:val="18"/>
        </w:rPr>
        <w:t>v.</w:t>
      </w:r>
      <w:proofErr w:type="gramEnd"/>
      <w:r w:rsidR="009C714A" w:rsidRPr="00501AF4">
        <w:rPr>
          <w:sz w:val="18"/>
          <w:szCs w:val="18"/>
        </w:rPr>
        <w:t xml:space="preserve"> The Commonwealth of Australia. PCA Case No. 2012-12</w:t>
      </w:r>
      <w:proofErr w:type="gramStart"/>
      <w:r w:rsidR="009C714A" w:rsidRPr="00501AF4">
        <w:rPr>
          <w:sz w:val="18"/>
          <w:szCs w:val="18"/>
        </w:rPr>
        <w:t>.</w:t>
      </w:r>
      <w:r w:rsidR="003E7DE7" w:rsidRPr="00501AF4">
        <w:rPr>
          <w:sz w:val="18"/>
          <w:szCs w:val="18"/>
          <w:lang w:val="es-ES_tradnl"/>
        </w:rPr>
        <w:t>.</w:t>
      </w:r>
      <w:proofErr w:type="gramEnd"/>
    </w:p>
  </w:endnote>
  <w:endnote w:id="3">
    <w:p w14:paraId="122B7675" w14:textId="65201FAD" w:rsidR="001E676F" w:rsidRPr="00501AF4" w:rsidRDefault="001E676F" w:rsidP="00165DA1">
      <w:pPr>
        <w:pStyle w:val="EndnoteText"/>
        <w:ind w:right="2244"/>
        <w:rPr>
          <w:sz w:val="18"/>
          <w:szCs w:val="18"/>
        </w:rPr>
      </w:pPr>
      <w:r w:rsidRPr="00501AF4">
        <w:rPr>
          <w:rStyle w:val="EndnoteReference"/>
          <w:sz w:val="18"/>
          <w:szCs w:val="18"/>
          <w:lang w:val="es-ES_tradnl"/>
        </w:rPr>
        <w:endnoteRef/>
      </w:r>
      <w:r w:rsidRPr="00501AF4">
        <w:rPr>
          <w:sz w:val="18"/>
          <w:szCs w:val="18"/>
          <w:lang w:val="es-ES_tradnl"/>
        </w:rPr>
        <w:t xml:space="preserve"> R (British American Tobacco &amp; Ors) </w:t>
      </w:r>
      <w:r w:rsidRPr="00501AF4">
        <w:rPr>
          <w:i/>
          <w:sz w:val="18"/>
          <w:szCs w:val="18"/>
          <w:lang w:val="es-ES_tradnl"/>
        </w:rPr>
        <w:t>v</w:t>
      </w:r>
      <w:r w:rsidR="003E7DE7" w:rsidRPr="00501AF4">
        <w:rPr>
          <w:i/>
          <w:sz w:val="18"/>
          <w:szCs w:val="18"/>
          <w:lang w:val="es-ES_tradnl"/>
        </w:rPr>
        <w:t>.</w:t>
      </w:r>
      <w:r w:rsidRPr="00501AF4">
        <w:rPr>
          <w:i/>
          <w:sz w:val="18"/>
          <w:szCs w:val="18"/>
          <w:lang w:val="es-ES_tradnl"/>
        </w:rPr>
        <w:t xml:space="preserve"> </w:t>
      </w:r>
      <w:r w:rsidR="009C714A" w:rsidRPr="00501AF4">
        <w:rPr>
          <w:sz w:val="18"/>
          <w:szCs w:val="18"/>
        </w:rPr>
        <w:t>Secretary of State for Health [2016] EWHC 1169 (Admin).</w:t>
      </w:r>
    </w:p>
  </w:endnote>
  <w:endnote w:id="4">
    <w:p w14:paraId="286C1423" w14:textId="4CA03E5C" w:rsidR="001E676F" w:rsidRPr="00501AF4" w:rsidRDefault="001E676F" w:rsidP="00530F53">
      <w:pPr>
        <w:pStyle w:val="EndnoteText"/>
        <w:ind w:right="2244"/>
        <w:rPr>
          <w:sz w:val="18"/>
          <w:szCs w:val="18"/>
          <w:lang w:val="es-ES_tradnl"/>
        </w:rPr>
      </w:pPr>
      <w:r w:rsidRPr="00501AF4">
        <w:rPr>
          <w:rStyle w:val="EndnoteReference"/>
          <w:sz w:val="18"/>
          <w:szCs w:val="18"/>
          <w:lang w:val="es-ES_tradnl"/>
        </w:rPr>
        <w:endnoteRef/>
      </w:r>
      <w:r w:rsidRPr="00501AF4">
        <w:rPr>
          <w:sz w:val="18"/>
          <w:szCs w:val="18"/>
          <w:lang w:val="es-ES_tradnl"/>
        </w:rPr>
        <w:t xml:space="preserve"> L</w:t>
      </w:r>
      <w:r w:rsidR="003E7DE7" w:rsidRPr="00501AF4">
        <w:rPr>
          <w:sz w:val="18"/>
          <w:szCs w:val="18"/>
          <w:lang w:val="es-ES_tradnl"/>
        </w:rPr>
        <w:t xml:space="preserve">e </w:t>
      </w:r>
      <w:proofErr w:type="spellStart"/>
      <w:r w:rsidR="003E7DE7" w:rsidRPr="00501AF4">
        <w:rPr>
          <w:sz w:val="18"/>
          <w:szCs w:val="18"/>
          <w:lang w:val="es-ES_tradnl"/>
        </w:rPr>
        <w:t>Conseil</w:t>
      </w:r>
      <w:proofErr w:type="spellEnd"/>
      <w:r w:rsidR="003E7DE7" w:rsidRPr="00501AF4">
        <w:rPr>
          <w:sz w:val="18"/>
          <w:szCs w:val="18"/>
          <w:lang w:val="es-ES_tradnl"/>
        </w:rPr>
        <w:t xml:space="preserve"> </w:t>
      </w:r>
      <w:proofErr w:type="spellStart"/>
      <w:r w:rsidR="003E7DE7" w:rsidRPr="00501AF4">
        <w:rPr>
          <w:sz w:val="18"/>
          <w:szCs w:val="18"/>
          <w:lang w:val="es-ES_tradnl"/>
        </w:rPr>
        <w:t>Constitutionnel</w:t>
      </w:r>
      <w:proofErr w:type="spellEnd"/>
      <w:r w:rsidRPr="00501AF4">
        <w:rPr>
          <w:sz w:val="18"/>
          <w:szCs w:val="18"/>
          <w:lang w:val="es-ES_tradnl"/>
        </w:rPr>
        <w:t xml:space="preserve"> </w:t>
      </w:r>
      <w:proofErr w:type="spellStart"/>
      <w:r w:rsidRPr="00501AF4">
        <w:rPr>
          <w:sz w:val="18"/>
          <w:szCs w:val="18"/>
          <w:lang w:val="es-ES_tradnl"/>
        </w:rPr>
        <w:t>Décision</w:t>
      </w:r>
      <w:proofErr w:type="spellEnd"/>
      <w:r w:rsidRPr="00501AF4">
        <w:rPr>
          <w:sz w:val="18"/>
          <w:szCs w:val="18"/>
          <w:lang w:val="es-ES_tradnl"/>
        </w:rPr>
        <w:t xml:space="preserve"> n° 2015-727 DC</w:t>
      </w:r>
      <w:r w:rsidR="003E7DE7" w:rsidRPr="00501AF4">
        <w:rPr>
          <w:sz w:val="18"/>
          <w:szCs w:val="18"/>
          <w:lang w:val="es-ES_tradnl"/>
        </w:rPr>
        <w:t>.</w:t>
      </w:r>
    </w:p>
  </w:endnote>
  <w:endnote w:id="5">
    <w:p w14:paraId="554D4DF1" w14:textId="4436758D" w:rsidR="001E676F" w:rsidRPr="00501AF4" w:rsidRDefault="001E676F" w:rsidP="00165DA1">
      <w:pPr>
        <w:pStyle w:val="EndnoteText"/>
        <w:ind w:right="2244"/>
        <w:rPr>
          <w:sz w:val="18"/>
          <w:szCs w:val="18"/>
          <w:lang w:val="es-ES_tradnl"/>
        </w:rPr>
      </w:pPr>
      <w:r w:rsidRPr="00501AF4">
        <w:rPr>
          <w:rStyle w:val="EndnoteReference"/>
          <w:sz w:val="18"/>
          <w:szCs w:val="18"/>
          <w:lang w:val="es-ES_tradnl"/>
        </w:rPr>
        <w:endnoteRef/>
      </w:r>
      <w:r w:rsidRPr="00501AF4">
        <w:rPr>
          <w:sz w:val="18"/>
          <w:szCs w:val="18"/>
          <w:lang w:val="es-ES_tradnl"/>
        </w:rPr>
        <w:t xml:space="preserve"> CE, </w:t>
      </w:r>
      <w:r w:rsidR="00165DA1" w:rsidRPr="00501AF4">
        <w:rPr>
          <w:sz w:val="18"/>
          <w:szCs w:val="18"/>
          <w:lang w:val="es-ES_tradnl"/>
        </w:rPr>
        <w:t>23 de diciembre</w:t>
      </w:r>
      <w:r w:rsidRPr="00501AF4">
        <w:rPr>
          <w:sz w:val="18"/>
          <w:szCs w:val="18"/>
          <w:lang w:val="es-ES_tradnl"/>
        </w:rPr>
        <w:t>, société JT International SA, Société d'exploitation industrielle des tabacs et des allumettes, société Philip Morris France SA et autres</w:t>
      </w:r>
      <w:r w:rsidR="003E7DE7" w:rsidRPr="00501AF4">
        <w:rPr>
          <w:sz w:val="18"/>
          <w:szCs w:val="18"/>
          <w:lang w:val="es-ES_tradnl"/>
        </w:rPr>
        <w:t>.</w:t>
      </w:r>
    </w:p>
  </w:endnote>
  <w:endnote w:id="6">
    <w:p w14:paraId="11B3FE7B" w14:textId="3DE084D0" w:rsidR="001E676F" w:rsidRPr="00501AF4" w:rsidRDefault="001E676F" w:rsidP="00165DA1">
      <w:pPr>
        <w:pStyle w:val="EndnoteText"/>
        <w:ind w:right="2244"/>
        <w:rPr>
          <w:sz w:val="18"/>
          <w:szCs w:val="18"/>
        </w:rPr>
      </w:pPr>
      <w:r w:rsidRPr="00501AF4">
        <w:rPr>
          <w:rStyle w:val="EndnoteReference"/>
          <w:sz w:val="18"/>
          <w:szCs w:val="18"/>
          <w:lang w:val="es-ES_tradnl"/>
        </w:rPr>
        <w:endnoteRef/>
      </w:r>
      <w:r w:rsidRPr="00501AF4">
        <w:rPr>
          <w:sz w:val="18"/>
          <w:szCs w:val="18"/>
          <w:lang w:val="es-ES_tradnl"/>
        </w:rPr>
        <w:t xml:space="preserve"> </w:t>
      </w:r>
      <w:r w:rsidR="009C714A" w:rsidRPr="00501AF4">
        <w:rPr>
          <w:sz w:val="18"/>
          <w:szCs w:val="18"/>
        </w:rPr>
        <w:t xml:space="preserve">JTI </w:t>
      </w:r>
      <w:r w:rsidR="009C714A" w:rsidRPr="00501AF4">
        <w:rPr>
          <w:i/>
          <w:sz w:val="18"/>
          <w:szCs w:val="18"/>
        </w:rPr>
        <w:t>v.</w:t>
      </w:r>
      <w:r w:rsidR="009C714A" w:rsidRPr="00501AF4">
        <w:rPr>
          <w:sz w:val="18"/>
          <w:szCs w:val="18"/>
        </w:rPr>
        <w:t xml:space="preserve"> Minister for Health, Ireland and the Attorney General is 2015/2530P.</w:t>
      </w:r>
    </w:p>
  </w:endnote>
  <w:endnote w:id="7">
    <w:p w14:paraId="413665B0" w14:textId="08013D82" w:rsidR="001E676F" w:rsidRPr="00501AF4" w:rsidRDefault="001E676F" w:rsidP="006D5004">
      <w:pPr>
        <w:pStyle w:val="EndnoteText"/>
        <w:ind w:right="2244"/>
        <w:rPr>
          <w:sz w:val="18"/>
          <w:szCs w:val="18"/>
        </w:rPr>
      </w:pPr>
      <w:r w:rsidRPr="00501AF4">
        <w:rPr>
          <w:rStyle w:val="EndnoteReference"/>
          <w:sz w:val="18"/>
          <w:szCs w:val="18"/>
          <w:lang w:val="es-ES_tradnl"/>
        </w:rPr>
        <w:endnoteRef/>
      </w:r>
      <w:r w:rsidRPr="00501AF4">
        <w:rPr>
          <w:sz w:val="18"/>
          <w:szCs w:val="18"/>
          <w:lang w:val="es-ES_tradnl"/>
        </w:rPr>
        <w:t xml:space="preserve"> </w:t>
      </w:r>
      <w:r w:rsidR="009C714A" w:rsidRPr="00501AF4">
        <w:rPr>
          <w:sz w:val="18"/>
          <w:szCs w:val="18"/>
        </w:rPr>
        <w:t xml:space="preserve">Philip Morris Brands SARL and Others </w:t>
      </w:r>
      <w:r w:rsidR="009C714A" w:rsidRPr="00501AF4">
        <w:rPr>
          <w:i/>
          <w:sz w:val="18"/>
          <w:szCs w:val="18"/>
        </w:rPr>
        <w:t xml:space="preserve">v. </w:t>
      </w:r>
      <w:r w:rsidR="009C714A" w:rsidRPr="00501AF4">
        <w:rPr>
          <w:sz w:val="18"/>
          <w:szCs w:val="18"/>
        </w:rPr>
        <w:t>Secretary of State for Health C-547/14.</w:t>
      </w:r>
    </w:p>
  </w:endnote>
  <w:endnote w:id="8">
    <w:p w14:paraId="6AD5715A" w14:textId="5A57B70A" w:rsidR="0079461E" w:rsidRPr="00501AF4" w:rsidRDefault="0079461E" w:rsidP="006D5004">
      <w:pPr>
        <w:pStyle w:val="EndnoteText"/>
        <w:rPr>
          <w:sz w:val="18"/>
          <w:szCs w:val="18"/>
          <w:lang w:val="es-ES_tradnl"/>
        </w:rPr>
      </w:pPr>
      <w:r w:rsidRPr="00501AF4">
        <w:rPr>
          <w:rStyle w:val="EndnoteReference"/>
          <w:sz w:val="18"/>
          <w:szCs w:val="18"/>
          <w:lang w:val="es-ES_tradnl"/>
        </w:rPr>
        <w:endnoteRef/>
      </w:r>
      <w:r w:rsidRPr="00501AF4">
        <w:rPr>
          <w:sz w:val="18"/>
          <w:szCs w:val="18"/>
          <w:lang w:val="es-ES_tradnl"/>
        </w:rPr>
        <w:t xml:space="preserve"> </w:t>
      </w:r>
      <w:r w:rsidR="009C714A" w:rsidRPr="00501AF4">
        <w:rPr>
          <w:sz w:val="18"/>
          <w:szCs w:val="18"/>
        </w:rPr>
        <w:t xml:space="preserve">Swedish Match </w:t>
      </w:r>
      <w:r w:rsidR="009C714A" w:rsidRPr="00501AF4">
        <w:rPr>
          <w:i/>
          <w:sz w:val="18"/>
          <w:szCs w:val="18"/>
        </w:rPr>
        <w:t xml:space="preserve">v. </w:t>
      </w:r>
      <w:r w:rsidR="009C714A" w:rsidRPr="00501AF4">
        <w:rPr>
          <w:sz w:val="18"/>
          <w:szCs w:val="18"/>
        </w:rPr>
        <w:t>The Ministry of Health and Care Services</w:t>
      </w:r>
      <w:r w:rsidRPr="00501AF4">
        <w:rPr>
          <w:sz w:val="18"/>
          <w:szCs w:val="18"/>
          <w:lang w:val="es-ES_tradnl"/>
        </w:rPr>
        <w:t xml:space="preserve">. </w:t>
      </w:r>
      <w:proofErr w:type="spellStart"/>
      <w:r w:rsidRPr="00501AF4">
        <w:rPr>
          <w:sz w:val="18"/>
          <w:szCs w:val="18"/>
          <w:lang w:val="es-ES_tradnl"/>
        </w:rPr>
        <w:t>Commercial</w:t>
      </w:r>
      <w:proofErr w:type="spellEnd"/>
      <w:r w:rsidRPr="00501AF4">
        <w:rPr>
          <w:sz w:val="18"/>
          <w:szCs w:val="18"/>
          <w:lang w:val="es-ES_tradnl"/>
        </w:rPr>
        <w:t xml:space="preserve"> </w:t>
      </w:r>
      <w:proofErr w:type="spellStart"/>
      <w:r w:rsidRPr="00501AF4">
        <w:rPr>
          <w:sz w:val="18"/>
          <w:szCs w:val="18"/>
          <w:lang w:val="es-ES_tradnl"/>
        </w:rPr>
        <w:t>Court</w:t>
      </w:r>
      <w:proofErr w:type="spellEnd"/>
      <w:r w:rsidRPr="00501AF4">
        <w:rPr>
          <w:sz w:val="18"/>
          <w:szCs w:val="18"/>
          <w:lang w:val="es-ES_tradnl"/>
        </w:rPr>
        <w:t xml:space="preserve"> case No 17-110415TV-OBYF. </w:t>
      </w:r>
    </w:p>
  </w:endnote>
  <w:endnote w:id="9">
    <w:p w14:paraId="0A7DDFC8" w14:textId="5027EE4F" w:rsidR="003F53E6" w:rsidRPr="00501AF4" w:rsidRDefault="003F53E6" w:rsidP="006D5004">
      <w:pPr>
        <w:pStyle w:val="EndnoteText"/>
        <w:ind w:right="2244"/>
        <w:rPr>
          <w:sz w:val="18"/>
          <w:szCs w:val="18"/>
          <w:lang w:val="es-ES_tradnl"/>
        </w:rPr>
      </w:pPr>
      <w:r w:rsidRPr="00501AF4">
        <w:rPr>
          <w:rStyle w:val="EndnoteReference"/>
          <w:sz w:val="18"/>
          <w:szCs w:val="18"/>
          <w:lang w:val="es-ES_tradnl"/>
        </w:rPr>
        <w:endnoteRef/>
      </w:r>
      <w:r w:rsidRPr="00501AF4">
        <w:rPr>
          <w:sz w:val="18"/>
          <w:szCs w:val="18"/>
          <w:lang w:val="es-ES_tradnl"/>
        </w:rPr>
        <w:t xml:space="preserve"> </w:t>
      </w:r>
      <w:r w:rsidR="006D5004" w:rsidRPr="00501AF4">
        <w:rPr>
          <w:sz w:val="18"/>
          <w:szCs w:val="18"/>
          <w:lang w:val="es-ES_tradnl"/>
        </w:rPr>
        <w:t>Una historia completa y explicación de los documentos divulgados en relación al empaquetado neutro producida por</w:t>
      </w:r>
      <w:r w:rsidRPr="00501AF4">
        <w:rPr>
          <w:sz w:val="18"/>
          <w:szCs w:val="18"/>
          <w:lang w:val="es-ES_tradnl"/>
        </w:rPr>
        <w:t xml:space="preserve"> </w:t>
      </w:r>
      <w:proofErr w:type="spellStart"/>
      <w:r w:rsidRPr="00501AF4">
        <w:rPr>
          <w:sz w:val="18"/>
          <w:szCs w:val="18"/>
          <w:lang w:val="es-ES_tradnl"/>
        </w:rPr>
        <w:t>Smoke</w:t>
      </w:r>
      <w:proofErr w:type="spellEnd"/>
      <w:r w:rsidRPr="00501AF4">
        <w:rPr>
          <w:sz w:val="18"/>
          <w:szCs w:val="18"/>
          <w:lang w:val="es-ES_tradnl"/>
        </w:rPr>
        <w:t xml:space="preserve">-Free </w:t>
      </w:r>
      <w:proofErr w:type="spellStart"/>
      <w:r w:rsidRPr="00501AF4">
        <w:rPr>
          <w:sz w:val="18"/>
          <w:szCs w:val="18"/>
          <w:lang w:val="es-ES_tradnl"/>
        </w:rPr>
        <w:t>Canada</w:t>
      </w:r>
      <w:proofErr w:type="spellEnd"/>
      <w:r w:rsidRPr="00501AF4">
        <w:rPr>
          <w:sz w:val="18"/>
          <w:szCs w:val="18"/>
          <w:lang w:val="es-ES_tradnl"/>
        </w:rPr>
        <w:t xml:space="preserve"> </w:t>
      </w:r>
      <w:r w:rsidR="006D5004" w:rsidRPr="00501AF4">
        <w:rPr>
          <w:sz w:val="18"/>
          <w:szCs w:val="18"/>
          <w:lang w:val="es-ES_tradnl"/>
        </w:rPr>
        <w:t>y puede encontrarse aquí</w:t>
      </w:r>
      <w:r w:rsidRPr="00501AF4">
        <w:rPr>
          <w:sz w:val="18"/>
          <w:szCs w:val="18"/>
          <w:lang w:val="es-ES_tradnl"/>
        </w:rPr>
        <w:t xml:space="preserve">: </w:t>
      </w:r>
      <w:r w:rsidR="00090A54">
        <w:fldChar w:fldCharType="begin"/>
      </w:r>
      <w:r w:rsidR="00090A54" w:rsidRPr="00090A54">
        <w:rPr>
          <w:lang w:val="fr-FR"/>
        </w:rPr>
        <w:instrText xml:space="preserve"> HYPERLINK "http://www.smoke-free.ca/pdf_1/plotagainstplainpackagin</w:instrText>
      </w:r>
      <w:r w:rsidR="00090A54" w:rsidRPr="00090A54">
        <w:rPr>
          <w:lang w:val="fr-FR"/>
        </w:rPr>
        <w:instrText xml:space="preserve">g-apr1'.pdf" </w:instrText>
      </w:r>
      <w:r w:rsidR="00090A54">
        <w:fldChar w:fldCharType="separate"/>
      </w:r>
      <w:r w:rsidRPr="00501AF4">
        <w:rPr>
          <w:rStyle w:val="Hyperlink"/>
          <w:sz w:val="18"/>
          <w:szCs w:val="18"/>
          <w:lang w:val="es-ES_tradnl"/>
        </w:rPr>
        <w:t>http://www.smoke-free.ca/pdf_1/plotagainstplainpackaging-apr1'.pdf</w:t>
      </w:r>
      <w:r w:rsidR="00090A54">
        <w:rPr>
          <w:rStyle w:val="Hyperlink"/>
          <w:sz w:val="18"/>
          <w:szCs w:val="18"/>
          <w:lang w:val="es-ES_tradnl"/>
        </w:rPr>
        <w:fldChar w:fldCharType="end"/>
      </w:r>
      <w:r w:rsidRPr="00501AF4">
        <w:rPr>
          <w:rStyle w:val="Hyperlink"/>
          <w:sz w:val="18"/>
          <w:szCs w:val="18"/>
          <w:lang w:val="es-ES_tradnl"/>
        </w:rPr>
        <w:t>.</w:t>
      </w:r>
      <w:r w:rsidRPr="00501AF4">
        <w:rPr>
          <w:sz w:val="18"/>
          <w:szCs w:val="18"/>
          <w:lang w:val="es-ES_tradnl"/>
        </w:rPr>
        <w:t xml:space="preserve"> </w:t>
      </w:r>
    </w:p>
  </w:endnote>
  <w:endnote w:id="10">
    <w:p w14:paraId="73AFC7BD" w14:textId="1A8C786F" w:rsidR="00475FA0" w:rsidRPr="00501AF4" w:rsidRDefault="00475FA0" w:rsidP="006D5004">
      <w:pPr>
        <w:pStyle w:val="EndnoteText"/>
        <w:ind w:right="2244"/>
        <w:rPr>
          <w:sz w:val="18"/>
          <w:szCs w:val="18"/>
          <w:lang w:val="es-ES_tradnl"/>
        </w:rPr>
      </w:pPr>
      <w:r w:rsidRPr="00501AF4">
        <w:rPr>
          <w:rStyle w:val="EndnoteReference"/>
          <w:sz w:val="18"/>
          <w:szCs w:val="18"/>
          <w:lang w:val="es-ES_tradnl"/>
        </w:rPr>
        <w:endnoteRef/>
      </w:r>
      <w:r w:rsidRPr="00501AF4">
        <w:rPr>
          <w:sz w:val="18"/>
          <w:szCs w:val="18"/>
          <w:lang w:val="es-ES_tradnl"/>
        </w:rPr>
        <w:t xml:space="preserve"> </w:t>
      </w:r>
      <w:r w:rsidR="006D5004" w:rsidRPr="00501AF4">
        <w:rPr>
          <w:sz w:val="18"/>
          <w:szCs w:val="18"/>
          <w:lang w:val="es-ES_tradnl"/>
        </w:rPr>
        <w:t>Publicado en</w:t>
      </w:r>
      <w:r w:rsidRPr="00501AF4">
        <w:rPr>
          <w:sz w:val="18"/>
          <w:szCs w:val="18"/>
          <w:lang w:val="es-ES_tradnl"/>
        </w:rPr>
        <w:t xml:space="preserve"> </w:t>
      </w:r>
      <w:r w:rsidRPr="00501AF4">
        <w:rPr>
          <w:i/>
          <w:sz w:val="18"/>
          <w:szCs w:val="18"/>
          <w:lang w:val="es-ES_tradnl"/>
        </w:rPr>
        <w:t>Tobacco Control</w:t>
      </w:r>
      <w:r w:rsidRPr="00501AF4">
        <w:rPr>
          <w:sz w:val="18"/>
          <w:szCs w:val="18"/>
          <w:lang w:val="es-ES_tradnl"/>
        </w:rPr>
        <w:t xml:space="preserve"> </w:t>
      </w:r>
      <w:r w:rsidR="006D5004" w:rsidRPr="00501AF4">
        <w:rPr>
          <w:sz w:val="18"/>
          <w:szCs w:val="18"/>
          <w:lang w:val="es-ES_tradnl"/>
        </w:rPr>
        <w:t>y el Convenio de París para la Protección de la Propiedad Industrial</w:t>
      </w:r>
      <w:r w:rsidRPr="00501AF4">
        <w:rPr>
          <w:sz w:val="18"/>
          <w:szCs w:val="18"/>
          <w:lang w:val="es-ES_tradnl"/>
        </w:rPr>
        <w:t xml:space="preserve">. Tobacco Control 1996; 5: 165 </w:t>
      </w:r>
      <w:proofErr w:type="spellStart"/>
      <w:r w:rsidRPr="00501AF4">
        <w:rPr>
          <w:sz w:val="18"/>
          <w:szCs w:val="18"/>
          <w:lang w:val="es-ES_tradnl"/>
        </w:rPr>
        <w:t>Collishaw</w:t>
      </w:r>
      <w:proofErr w:type="spellEnd"/>
      <w:r w:rsidRPr="00501AF4">
        <w:rPr>
          <w:sz w:val="18"/>
          <w:szCs w:val="18"/>
          <w:lang w:val="es-ES_tradnl"/>
        </w:rPr>
        <w:t xml:space="preserve"> NE.</w:t>
      </w:r>
    </w:p>
  </w:endnote>
  <w:endnote w:id="11">
    <w:p w14:paraId="6ECF0587" w14:textId="212E47CB" w:rsidR="00475FA0" w:rsidRPr="00501AF4" w:rsidRDefault="00475FA0" w:rsidP="006D5004">
      <w:pPr>
        <w:pStyle w:val="EndnoteText"/>
        <w:ind w:right="2244"/>
        <w:rPr>
          <w:color w:val="0563C1" w:themeColor="hyperlink"/>
          <w:u w:val="single"/>
          <w:lang w:val="fr-FR"/>
        </w:rPr>
      </w:pPr>
      <w:r w:rsidRPr="00501AF4">
        <w:rPr>
          <w:rStyle w:val="EndnoteReference"/>
          <w:sz w:val="18"/>
          <w:szCs w:val="18"/>
          <w:lang w:val="es-ES_tradnl"/>
        </w:rPr>
        <w:endnoteRef/>
      </w:r>
      <w:r w:rsidRPr="00501AF4">
        <w:rPr>
          <w:sz w:val="18"/>
          <w:szCs w:val="18"/>
          <w:lang w:val="es-ES_tradnl"/>
        </w:rPr>
        <w:t xml:space="preserve"> </w:t>
      </w:r>
      <w:r w:rsidR="006D5004" w:rsidRPr="00501AF4">
        <w:rPr>
          <w:sz w:val="18"/>
          <w:szCs w:val="18"/>
          <w:lang w:val="es-ES_tradnl"/>
        </w:rPr>
        <w:t>OMC</w:t>
      </w:r>
      <w:r w:rsidRPr="00501AF4">
        <w:rPr>
          <w:sz w:val="18"/>
          <w:szCs w:val="18"/>
          <w:lang w:val="es-ES_tradnl"/>
        </w:rPr>
        <w:t xml:space="preserve"> </w:t>
      </w:r>
      <w:r w:rsidR="006D5004" w:rsidRPr="00501AF4">
        <w:rPr>
          <w:sz w:val="18"/>
          <w:szCs w:val="18"/>
          <w:lang w:val="es-ES_tradnl"/>
        </w:rPr>
        <w:t>Números de disputa</w:t>
      </w:r>
      <w:r w:rsidRPr="00501AF4">
        <w:rPr>
          <w:sz w:val="18"/>
          <w:szCs w:val="18"/>
          <w:lang w:val="es-ES_tradnl"/>
        </w:rPr>
        <w:t xml:space="preserve"> </w:t>
      </w:r>
      <w:r w:rsidR="00090A54">
        <w:fldChar w:fldCharType="begin"/>
      </w:r>
      <w:r w:rsidR="00090A54" w:rsidRPr="00090A54">
        <w:rPr>
          <w:lang w:val="fr-FR"/>
        </w:rPr>
        <w:instrText xml:space="preserve"> HYPERLINK "https://www.wto.org/english/tratop_e/dispu_e/cases_e/ds435_e.htm" </w:instrText>
      </w:r>
      <w:r w:rsidR="00090A54">
        <w:fldChar w:fldCharType="separate"/>
      </w:r>
      <w:r w:rsidRPr="00501AF4">
        <w:rPr>
          <w:rStyle w:val="Hyperlink"/>
          <w:sz w:val="18"/>
          <w:szCs w:val="18"/>
          <w:lang w:val="es-ES_tradnl"/>
        </w:rPr>
        <w:t>DS435</w:t>
      </w:r>
      <w:r w:rsidR="00090A54">
        <w:rPr>
          <w:rStyle w:val="Hyperlink"/>
          <w:sz w:val="18"/>
          <w:szCs w:val="18"/>
          <w:lang w:val="es-ES_tradnl"/>
        </w:rPr>
        <w:fldChar w:fldCharType="end"/>
      </w:r>
      <w:r w:rsidRPr="00501AF4">
        <w:rPr>
          <w:sz w:val="18"/>
          <w:szCs w:val="18"/>
          <w:lang w:val="es-ES_tradnl"/>
        </w:rPr>
        <w:t xml:space="preserve">, </w:t>
      </w:r>
      <w:hyperlink r:id="rId1" w:history="1">
        <w:r w:rsidRPr="00501AF4">
          <w:rPr>
            <w:rStyle w:val="Hyperlink"/>
            <w:sz w:val="18"/>
            <w:szCs w:val="18"/>
            <w:lang w:val="es-ES_tradnl"/>
          </w:rPr>
          <w:t>DS441</w:t>
        </w:r>
      </w:hyperlink>
      <w:r w:rsidRPr="00501AF4">
        <w:rPr>
          <w:sz w:val="18"/>
          <w:szCs w:val="18"/>
          <w:lang w:val="es-ES_tradnl"/>
        </w:rPr>
        <w:t xml:space="preserve">, </w:t>
      </w:r>
      <w:hyperlink r:id="rId2" w:history="1">
        <w:r w:rsidRPr="00501AF4">
          <w:rPr>
            <w:rStyle w:val="Hyperlink"/>
            <w:sz w:val="18"/>
            <w:szCs w:val="18"/>
            <w:lang w:val="es-ES_tradnl"/>
          </w:rPr>
          <w:t>DS458</w:t>
        </w:r>
      </w:hyperlink>
      <w:r w:rsidRPr="00501AF4">
        <w:rPr>
          <w:rStyle w:val="Hyperlink"/>
          <w:sz w:val="18"/>
          <w:szCs w:val="18"/>
          <w:lang w:val="es-ES_tradnl"/>
        </w:rPr>
        <w:t>,</w:t>
      </w:r>
      <w:r w:rsidRPr="00501AF4">
        <w:rPr>
          <w:sz w:val="18"/>
          <w:szCs w:val="18"/>
          <w:lang w:val="es-ES_tradnl"/>
        </w:rPr>
        <w:t xml:space="preserve"> </w:t>
      </w:r>
      <w:r w:rsidR="006D5004" w:rsidRPr="00501AF4">
        <w:rPr>
          <w:sz w:val="18"/>
          <w:szCs w:val="18"/>
          <w:lang w:val="es-ES_tradnl"/>
        </w:rPr>
        <w:t>y</w:t>
      </w:r>
      <w:r w:rsidRPr="00501AF4">
        <w:rPr>
          <w:sz w:val="18"/>
          <w:szCs w:val="18"/>
          <w:lang w:val="es-ES_tradnl"/>
        </w:rPr>
        <w:t xml:space="preserve"> </w:t>
      </w:r>
      <w:hyperlink r:id="rId3" w:history="1">
        <w:r w:rsidRPr="00501AF4">
          <w:rPr>
            <w:rStyle w:val="Hyperlink"/>
            <w:sz w:val="18"/>
            <w:szCs w:val="18"/>
            <w:lang w:val="es-ES_tradnl"/>
          </w:rPr>
          <w:t>DS467</w:t>
        </w:r>
      </w:hyperlink>
      <w:r w:rsidRPr="00501AF4">
        <w:rPr>
          <w:rStyle w:val="Hyperlink"/>
          <w:sz w:val="18"/>
          <w:szCs w:val="18"/>
          <w:lang w:val="es-ES_tradn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F6E4" w14:textId="1A97DD73" w:rsidR="00874C4F" w:rsidRPr="00F608C9" w:rsidRDefault="00043797" w:rsidP="00043797">
    <w:pPr>
      <w:pStyle w:val="Footer"/>
      <w:jc w:val="right"/>
      <w:rPr>
        <w:color w:val="1F4E79" w:themeColor="accent1" w:themeShade="80"/>
      </w:rPr>
    </w:pPr>
    <w:proofErr w:type="spellStart"/>
    <w:r>
      <w:rPr>
        <w:color w:val="1F4E79" w:themeColor="accent1" w:themeShade="80"/>
      </w:rPr>
      <w:t>Resumen</w:t>
    </w:r>
    <w:proofErr w:type="spellEnd"/>
    <w:r>
      <w:rPr>
        <w:color w:val="1F4E79" w:themeColor="accent1" w:themeShade="80"/>
      </w:rPr>
      <w:t xml:space="preserve"> de </w:t>
    </w:r>
    <w:proofErr w:type="spellStart"/>
    <w:r>
      <w:rPr>
        <w:color w:val="1F4E79" w:themeColor="accent1" w:themeShade="80"/>
      </w:rPr>
      <w:t>Política</w:t>
    </w:r>
    <w:proofErr w:type="spellEnd"/>
    <w:r w:rsidR="00F608C9" w:rsidRPr="00F608C9">
      <w:rPr>
        <w:color w:val="1F4E79" w:themeColor="accent1" w:themeShade="80"/>
      </w:rPr>
      <w:t xml:space="preserve"> </w:t>
    </w:r>
    <w:r>
      <w:rPr>
        <w:color w:val="1F4E79" w:themeColor="accent1" w:themeShade="80"/>
      </w:rPr>
      <w:t>EMPAQUETADO NEUTRO</w:t>
    </w:r>
    <w:r w:rsidR="00F608C9" w:rsidRPr="00F608C9">
      <w:rPr>
        <w:color w:val="1F4E79" w:themeColor="accent1" w:themeShade="80"/>
      </w:rPr>
      <w:t xml:space="preserve">: </w:t>
    </w:r>
    <w:r>
      <w:rPr>
        <w:color w:val="1F4E79" w:themeColor="accent1" w:themeShade="80"/>
      </w:rPr>
      <w:t>¿Es</w:t>
    </w:r>
    <w:r w:rsidR="00F608C9" w:rsidRPr="00F608C9">
      <w:rPr>
        <w:color w:val="1F4E79" w:themeColor="accent1" w:themeShade="80"/>
      </w:rPr>
      <w:t xml:space="preserve"> legal?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B5DA" w14:textId="77777777" w:rsidR="00476936" w:rsidRDefault="00476936" w:rsidP="003441FD">
      <w:pPr>
        <w:spacing w:after="0" w:line="240" w:lineRule="auto"/>
      </w:pPr>
      <w:r>
        <w:separator/>
      </w:r>
    </w:p>
  </w:footnote>
  <w:footnote w:type="continuationSeparator" w:id="0">
    <w:p w14:paraId="35BA9D40" w14:textId="77777777" w:rsidR="00476936" w:rsidRDefault="00476936" w:rsidP="0034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4D5D"/>
    <w:multiLevelType w:val="hybridMultilevel"/>
    <w:tmpl w:val="386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F0617"/>
    <w:multiLevelType w:val="hybridMultilevel"/>
    <w:tmpl w:val="C4EC1A9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4B6D53A7"/>
    <w:multiLevelType w:val="hybridMultilevel"/>
    <w:tmpl w:val="E4AE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F466E"/>
    <w:multiLevelType w:val="hybridMultilevel"/>
    <w:tmpl w:val="2B584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AD0910"/>
    <w:multiLevelType w:val="hybridMultilevel"/>
    <w:tmpl w:val="A5E4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7599E"/>
    <w:multiLevelType w:val="hybridMultilevel"/>
    <w:tmpl w:val="BA5CE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E84C47"/>
    <w:multiLevelType w:val="hybridMultilevel"/>
    <w:tmpl w:val="00E4853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C6CCC"/>
    <w:multiLevelType w:val="hybridMultilevel"/>
    <w:tmpl w:val="4838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FD"/>
    <w:rsid w:val="00000F47"/>
    <w:rsid w:val="00043797"/>
    <w:rsid w:val="00090A54"/>
    <w:rsid w:val="000956C8"/>
    <w:rsid w:val="000E4DF2"/>
    <w:rsid w:val="001130B4"/>
    <w:rsid w:val="00130D71"/>
    <w:rsid w:val="0013425C"/>
    <w:rsid w:val="00165DA1"/>
    <w:rsid w:val="001709BE"/>
    <w:rsid w:val="0019224E"/>
    <w:rsid w:val="001E676F"/>
    <w:rsid w:val="0021637F"/>
    <w:rsid w:val="00241919"/>
    <w:rsid w:val="003441FD"/>
    <w:rsid w:val="003944EC"/>
    <w:rsid w:val="003A149A"/>
    <w:rsid w:val="003A5762"/>
    <w:rsid w:val="003B060C"/>
    <w:rsid w:val="003E7DE7"/>
    <w:rsid w:val="003F53E6"/>
    <w:rsid w:val="004659CC"/>
    <w:rsid w:val="00475FA0"/>
    <w:rsid w:val="00476936"/>
    <w:rsid w:val="00487345"/>
    <w:rsid w:val="004B2BFE"/>
    <w:rsid w:val="004C4323"/>
    <w:rsid w:val="00501AF4"/>
    <w:rsid w:val="00530F53"/>
    <w:rsid w:val="00566D44"/>
    <w:rsid w:val="005D6A65"/>
    <w:rsid w:val="00622481"/>
    <w:rsid w:val="006D5004"/>
    <w:rsid w:val="00722243"/>
    <w:rsid w:val="0079461E"/>
    <w:rsid w:val="00847DC6"/>
    <w:rsid w:val="00874C4F"/>
    <w:rsid w:val="008D0373"/>
    <w:rsid w:val="008E0F1F"/>
    <w:rsid w:val="00916A28"/>
    <w:rsid w:val="00981293"/>
    <w:rsid w:val="009C714A"/>
    <w:rsid w:val="00A42DD0"/>
    <w:rsid w:val="00A80810"/>
    <w:rsid w:val="00A83D3C"/>
    <w:rsid w:val="00AE7FB0"/>
    <w:rsid w:val="00B140FD"/>
    <w:rsid w:val="00B7531C"/>
    <w:rsid w:val="00BB7D19"/>
    <w:rsid w:val="00BE21C5"/>
    <w:rsid w:val="00C026C7"/>
    <w:rsid w:val="00C20D3F"/>
    <w:rsid w:val="00C4451C"/>
    <w:rsid w:val="00C5126A"/>
    <w:rsid w:val="00C76909"/>
    <w:rsid w:val="00CA6245"/>
    <w:rsid w:val="00D1391C"/>
    <w:rsid w:val="00D60213"/>
    <w:rsid w:val="00D67F13"/>
    <w:rsid w:val="00D96507"/>
    <w:rsid w:val="00E565D0"/>
    <w:rsid w:val="00E70C99"/>
    <w:rsid w:val="00E82A6F"/>
    <w:rsid w:val="00F00404"/>
    <w:rsid w:val="00F21B68"/>
    <w:rsid w:val="00F30034"/>
    <w:rsid w:val="00F608C9"/>
    <w:rsid w:val="00F75D7D"/>
    <w:rsid w:val="00F82FF4"/>
    <w:rsid w:val="00FC1F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1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 w:type="character" w:styleId="CommentReference">
    <w:name w:val="annotation reference"/>
    <w:basedOn w:val="DefaultParagraphFont"/>
    <w:uiPriority w:val="99"/>
    <w:semiHidden/>
    <w:unhideWhenUsed/>
    <w:rsid w:val="009C714A"/>
    <w:rPr>
      <w:sz w:val="18"/>
      <w:szCs w:val="18"/>
    </w:rPr>
  </w:style>
  <w:style w:type="paragraph" w:styleId="CommentText">
    <w:name w:val="annotation text"/>
    <w:basedOn w:val="Normal"/>
    <w:link w:val="CommentTextChar"/>
    <w:uiPriority w:val="99"/>
    <w:semiHidden/>
    <w:unhideWhenUsed/>
    <w:rsid w:val="009C714A"/>
    <w:pPr>
      <w:spacing w:line="240" w:lineRule="auto"/>
    </w:pPr>
    <w:rPr>
      <w:sz w:val="24"/>
      <w:szCs w:val="24"/>
    </w:rPr>
  </w:style>
  <w:style w:type="character" w:customStyle="1" w:styleId="CommentTextChar">
    <w:name w:val="Comment Text Char"/>
    <w:basedOn w:val="DefaultParagraphFont"/>
    <w:link w:val="CommentText"/>
    <w:uiPriority w:val="99"/>
    <w:semiHidden/>
    <w:rsid w:val="009C714A"/>
    <w:rPr>
      <w:sz w:val="24"/>
      <w:szCs w:val="24"/>
    </w:rPr>
  </w:style>
  <w:style w:type="paragraph" w:styleId="CommentSubject">
    <w:name w:val="annotation subject"/>
    <w:basedOn w:val="CommentText"/>
    <w:next w:val="CommentText"/>
    <w:link w:val="CommentSubjectChar"/>
    <w:uiPriority w:val="99"/>
    <w:semiHidden/>
    <w:unhideWhenUsed/>
    <w:rsid w:val="009C714A"/>
    <w:rPr>
      <w:b/>
      <w:bCs/>
      <w:sz w:val="20"/>
      <w:szCs w:val="20"/>
    </w:rPr>
  </w:style>
  <w:style w:type="character" w:customStyle="1" w:styleId="CommentSubjectChar">
    <w:name w:val="Comment Subject Char"/>
    <w:basedOn w:val="CommentTextChar"/>
    <w:link w:val="CommentSubject"/>
    <w:uiPriority w:val="99"/>
    <w:semiHidden/>
    <w:rsid w:val="009C71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FD"/>
    <w:pPr>
      <w:ind w:left="720"/>
      <w:contextualSpacing/>
    </w:pPr>
  </w:style>
  <w:style w:type="paragraph" w:styleId="EndnoteText">
    <w:name w:val="endnote text"/>
    <w:basedOn w:val="Normal"/>
    <w:link w:val="EndnoteTextChar"/>
    <w:uiPriority w:val="99"/>
    <w:semiHidden/>
    <w:unhideWhenUsed/>
    <w:rsid w:val="00344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1FD"/>
    <w:rPr>
      <w:sz w:val="20"/>
      <w:szCs w:val="20"/>
    </w:rPr>
  </w:style>
  <w:style w:type="character" w:styleId="EndnoteReference">
    <w:name w:val="endnote reference"/>
    <w:basedOn w:val="DefaultParagraphFont"/>
    <w:uiPriority w:val="99"/>
    <w:unhideWhenUsed/>
    <w:rsid w:val="003441FD"/>
    <w:rPr>
      <w:vertAlign w:val="superscript"/>
    </w:rPr>
  </w:style>
  <w:style w:type="character" w:styleId="Hyperlink">
    <w:name w:val="Hyperlink"/>
    <w:basedOn w:val="DefaultParagraphFont"/>
    <w:uiPriority w:val="99"/>
    <w:unhideWhenUsed/>
    <w:rsid w:val="003441FD"/>
    <w:rPr>
      <w:color w:val="0563C1" w:themeColor="hyperlink"/>
      <w:u w:val="single"/>
    </w:rPr>
  </w:style>
  <w:style w:type="paragraph" w:styleId="BalloonText">
    <w:name w:val="Balloon Text"/>
    <w:basedOn w:val="Normal"/>
    <w:link w:val="BalloonTextChar"/>
    <w:uiPriority w:val="99"/>
    <w:semiHidden/>
    <w:unhideWhenUsed/>
    <w:rsid w:val="00C026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6C7"/>
    <w:rPr>
      <w:rFonts w:ascii="Lucida Grande" w:hAnsi="Lucida Grande" w:cs="Lucida Grande"/>
      <w:sz w:val="18"/>
      <w:szCs w:val="18"/>
    </w:rPr>
  </w:style>
  <w:style w:type="paragraph" w:styleId="Header">
    <w:name w:val="header"/>
    <w:basedOn w:val="Normal"/>
    <w:link w:val="HeaderChar"/>
    <w:uiPriority w:val="99"/>
    <w:unhideWhenUsed/>
    <w:rsid w:val="008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4F"/>
  </w:style>
  <w:style w:type="paragraph" w:styleId="Footer">
    <w:name w:val="footer"/>
    <w:basedOn w:val="Normal"/>
    <w:link w:val="FooterChar"/>
    <w:uiPriority w:val="99"/>
    <w:unhideWhenUsed/>
    <w:rsid w:val="008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4F"/>
  </w:style>
  <w:style w:type="character" w:styleId="CommentReference">
    <w:name w:val="annotation reference"/>
    <w:basedOn w:val="DefaultParagraphFont"/>
    <w:uiPriority w:val="99"/>
    <w:semiHidden/>
    <w:unhideWhenUsed/>
    <w:rsid w:val="009C714A"/>
    <w:rPr>
      <w:sz w:val="18"/>
      <w:szCs w:val="18"/>
    </w:rPr>
  </w:style>
  <w:style w:type="paragraph" w:styleId="CommentText">
    <w:name w:val="annotation text"/>
    <w:basedOn w:val="Normal"/>
    <w:link w:val="CommentTextChar"/>
    <w:uiPriority w:val="99"/>
    <w:semiHidden/>
    <w:unhideWhenUsed/>
    <w:rsid w:val="009C714A"/>
    <w:pPr>
      <w:spacing w:line="240" w:lineRule="auto"/>
    </w:pPr>
    <w:rPr>
      <w:sz w:val="24"/>
      <w:szCs w:val="24"/>
    </w:rPr>
  </w:style>
  <w:style w:type="character" w:customStyle="1" w:styleId="CommentTextChar">
    <w:name w:val="Comment Text Char"/>
    <w:basedOn w:val="DefaultParagraphFont"/>
    <w:link w:val="CommentText"/>
    <w:uiPriority w:val="99"/>
    <w:semiHidden/>
    <w:rsid w:val="009C714A"/>
    <w:rPr>
      <w:sz w:val="24"/>
      <w:szCs w:val="24"/>
    </w:rPr>
  </w:style>
  <w:style w:type="paragraph" w:styleId="CommentSubject">
    <w:name w:val="annotation subject"/>
    <w:basedOn w:val="CommentText"/>
    <w:next w:val="CommentText"/>
    <w:link w:val="CommentSubjectChar"/>
    <w:uiPriority w:val="99"/>
    <w:semiHidden/>
    <w:unhideWhenUsed/>
    <w:rsid w:val="009C714A"/>
    <w:rPr>
      <w:b/>
      <w:bCs/>
      <w:sz w:val="20"/>
      <w:szCs w:val="20"/>
    </w:rPr>
  </w:style>
  <w:style w:type="character" w:customStyle="1" w:styleId="CommentSubjectChar">
    <w:name w:val="Comment Subject Char"/>
    <w:basedOn w:val="CommentTextChar"/>
    <w:link w:val="CommentSubject"/>
    <w:uiPriority w:val="99"/>
    <w:semiHidden/>
    <w:rsid w:val="009C71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59">
      <w:bodyDiv w:val="1"/>
      <w:marLeft w:val="0"/>
      <w:marRight w:val="0"/>
      <w:marTop w:val="0"/>
      <w:marBottom w:val="0"/>
      <w:divBdr>
        <w:top w:val="none" w:sz="0" w:space="0" w:color="auto"/>
        <w:left w:val="none" w:sz="0" w:space="0" w:color="auto"/>
        <w:bottom w:val="none" w:sz="0" w:space="0" w:color="auto"/>
        <w:right w:val="none" w:sz="0" w:space="0" w:color="auto"/>
      </w:divBdr>
    </w:div>
    <w:div w:id="83303232">
      <w:bodyDiv w:val="1"/>
      <w:marLeft w:val="0"/>
      <w:marRight w:val="0"/>
      <w:marTop w:val="0"/>
      <w:marBottom w:val="0"/>
      <w:divBdr>
        <w:top w:val="none" w:sz="0" w:space="0" w:color="auto"/>
        <w:left w:val="none" w:sz="0" w:space="0" w:color="auto"/>
        <w:bottom w:val="none" w:sz="0" w:space="0" w:color="auto"/>
        <w:right w:val="none" w:sz="0" w:space="0" w:color="auto"/>
      </w:divBdr>
    </w:div>
    <w:div w:id="143742325">
      <w:bodyDiv w:val="1"/>
      <w:marLeft w:val="0"/>
      <w:marRight w:val="0"/>
      <w:marTop w:val="0"/>
      <w:marBottom w:val="0"/>
      <w:divBdr>
        <w:top w:val="none" w:sz="0" w:space="0" w:color="auto"/>
        <w:left w:val="none" w:sz="0" w:space="0" w:color="auto"/>
        <w:bottom w:val="none" w:sz="0" w:space="0" w:color="auto"/>
        <w:right w:val="none" w:sz="0" w:space="0" w:color="auto"/>
      </w:divBdr>
    </w:div>
    <w:div w:id="265506777">
      <w:bodyDiv w:val="1"/>
      <w:marLeft w:val="0"/>
      <w:marRight w:val="0"/>
      <w:marTop w:val="0"/>
      <w:marBottom w:val="0"/>
      <w:divBdr>
        <w:top w:val="none" w:sz="0" w:space="0" w:color="auto"/>
        <w:left w:val="none" w:sz="0" w:space="0" w:color="auto"/>
        <w:bottom w:val="none" w:sz="0" w:space="0" w:color="auto"/>
        <w:right w:val="none" w:sz="0" w:space="0" w:color="auto"/>
      </w:divBdr>
    </w:div>
    <w:div w:id="363485701">
      <w:bodyDiv w:val="1"/>
      <w:marLeft w:val="0"/>
      <w:marRight w:val="0"/>
      <w:marTop w:val="0"/>
      <w:marBottom w:val="0"/>
      <w:divBdr>
        <w:top w:val="none" w:sz="0" w:space="0" w:color="auto"/>
        <w:left w:val="none" w:sz="0" w:space="0" w:color="auto"/>
        <w:bottom w:val="none" w:sz="0" w:space="0" w:color="auto"/>
        <w:right w:val="none" w:sz="0" w:space="0" w:color="auto"/>
      </w:divBdr>
    </w:div>
    <w:div w:id="464007317">
      <w:bodyDiv w:val="1"/>
      <w:marLeft w:val="0"/>
      <w:marRight w:val="0"/>
      <w:marTop w:val="0"/>
      <w:marBottom w:val="0"/>
      <w:divBdr>
        <w:top w:val="none" w:sz="0" w:space="0" w:color="auto"/>
        <w:left w:val="none" w:sz="0" w:space="0" w:color="auto"/>
        <w:bottom w:val="none" w:sz="0" w:space="0" w:color="auto"/>
        <w:right w:val="none" w:sz="0" w:space="0" w:color="auto"/>
      </w:divBdr>
    </w:div>
    <w:div w:id="526454263">
      <w:bodyDiv w:val="1"/>
      <w:marLeft w:val="0"/>
      <w:marRight w:val="0"/>
      <w:marTop w:val="0"/>
      <w:marBottom w:val="0"/>
      <w:divBdr>
        <w:top w:val="none" w:sz="0" w:space="0" w:color="auto"/>
        <w:left w:val="none" w:sz="0" w:space="0" w:color="auto"/>
        <w:bottom w:val="none" w:sz="0" w:space="0" w:color="auto"/>
        <w:right w:val="none" w:sz="0" w:space="0" w:color="auto"/>
      </w:divBdr>
    </w:div>
    <w:div w:id="530997992">
      <w:bodyDiv w:val="1"/>
      <w:marLeft w:val="0"/>
      <w:marRight w:val="0"/>
      <w:marTop w:val="0"/>
      <w:marBottom w:val="0"/>
      <w:divBdr>
        <w:top w:val="none" w:sz="0" w:space="0" w:color="auto"/>
        <w:left w:val="none" w:sz="0" w:space="0" w:color="auto"/>
        <w:bottom w:val="none" w:sz="0" w:space="0" w:color="auto"/>
        <w:right w:val="none" w:sz="0" w:space="0" w:color="auto"/>
      </w:divBdr>
    </w:div>
    <w:div w:id="535897818">
      <w:bodyDiv w:val="1"/>
      <w:marLeft w:val="0"/>
      <w:marRight w:val="0"/>
      <w:marTop w:val="0"/>
      <w:marBottom w:val="0"/>
      <w:divBdr>
        <w:top w:val="none" w:sz="0" w:space="0" w:color="auto"/>
        <w:left w:val="none" w:sz="0" w:space="0" w:color="auto"/>
        <w:bottom w:val="none" w:sz="0" w:space="0" w:color="auto"/>
        <w:right w:val="none" w:sz="0" w:space="0" w:color="auto"/>
      </w:divBdr>
    </w:div>
    <w:div w:id="567420356">
      <w:bodyDiv w:val="1"/>
      <w:marLeft w:val="0"/>
      <w:marRight w:val="0"/>
      <w:marTop w:val="0"/>
      <w:marBottom w:val="0"/>
      <w:divBdr>
        <w:top w:val="none" w:sz="0" w:space="0" w:color="auto"/>
        <w:left w:val="none" w:sz="0" w:space="0" w:color="auto"/>
        <w:bottom w:val="none" w:sz="0" w:space="0" w:color="auto"/>
        <w:right w:val="none" w:sz="0" w:space="0" w:color="auto"/>
      </w:divBdr>
    </w:div>
    <w:div w:id="692415884">
      <w:bodyDiv w:val="1"/>
      <w:marLeft w:val="0"/>
      <w:marRight w:val="0"/>
      <w:marTop w:val="0"/>
      <w:marBottom w:val="0"/>
      <w:divBdr>
        <w:top w:val="none" w:sz="0" w:space="0" w:color="auto"/>
        <w:left w:val="none" w:sz="0" w:space="0" w:color="auto"/>
        <w:bottom w:val="none" w:sz="0" w:space="0" w:color="auto"/>
        <w:right w:val="none" w:sz="0" w:space="0" w:color="auto"/>
      </w:divBdr>
    </w:div>
    <w:div w:id="701978109">
      <w:bodyDiv w:val="1"/>
      <w:marLeft w:val="0"/>
      <w:marRight w:val="0"/>
      <w:marTop w:val="0"/>
      <w:marBottom w:val="0"/>
      <w:divBdr>
        <w:top w:val="none" w:sz="0" w:space="0" w:color="auto"/>
        <w:left w:val="none" w:sz="0" w:space="0" w:color="auto"/>
        <w:bottom w:val="none" w:sz="0" w:space="0" w:color="auto"/>
        <w:right w:val="none" w:sz="0" w:space="0" w:color="auto"/>
      </w:divBdr>
    </w:div>
    <w:div w:id="713848040">
      <w:bodyDiv w:val="1"/>
      <w:marLeft w:val="0"/>
      <w:marRight w:val="0"/>
      <w:marTop w:val="0"/>
      <w:marBottom w:val="0"/>
      <w:divBdr>
        <w:top w:val="none" w:sz="0" w:space="0" w:color="auto"/>
        <w:left w:val="none" w:sz="0" w:space="0" w:color="auto"/>
        <w:bottom w:val="none" w:sz="0" w:space="0" w:color="auto"/>
        <w:right w:val="none" w:sz="0" w:space="0" w:color="auto"/>
      </w:divBdr>
    </w:div>
    <w:div w:id="738552825">
      <w:bodyDiv w:val="1"/>
      <w:marLeft w:val="0"/>
      <w:marRight w:val="0"/>
      <w:marTop w:val="0"/>
      <w:marBottom w:val="0"/>
      <w:divBdr>
        <w:top w:val="none" w:sz="0" w:space="0" w:color="auto"/>
        <w:left w:val="none" w:sz="0" w:space="0" w:color="auto"/>
        <w:bottom w:val="none" w:sz="0" w:space="0" w:color="auto"/>
        <w:right w:val="none" w:sz="0" w:space="0" w:color="auto"/>
      </w:divBdr>
    </w:div>
    <w:div w:id="801311646">
      <w:bodyDiv w:val="1"/>
      <w:marLeft w:val="0"/>
      <w:marRight w:val="0"/>
      <w:marTop w:val="0"/>
      <w:marBottom w:val="0"/>
      <w:divBdr>
        <w:top w:val="none" w:sz="0" w:space="0" w:color="auto"/>
        <w:left w:val="none" w:sz="0" w:space="0" w:color="auto"/>
        <w:bottom w:val="none" w:sz="0" w:space="0" w:color="auto"/>
        <w:right w:val="none" w:sz="0" w:space="0" w:color="auto"/>
      </w:divBdr>
    </w:div>
    <w:div w:id="1077938133">
      <w:bodyDiv w:val="1"/>
      <w:marLeft w:val="0"/>
      <w:marRight w:val="0"/>
      <w:marTop w:val="0"/>
      <w:marBottom w:val="0"/>
      <w:divBdr>
        <w:top w:val="none" w:sz="0" w:space="0" w:color="auto"/>
        <w:left w:val="none" w:sz="0" w:space="0" w:color="auto"/>
        <w:bottom w:val="none" w:sz="0" w:space="0" w:color="auto"/>
        <w:right w:val="none" w:sz="0" w:space="0" w:color="auto"/>
      </w:divBdr>
    </w:div>
    <w:div w:id="1091582802">
      <w:bodyDiv w:val="1"/>
      <w:marLeft w:val="0"/>
      <w:marRight w:val="0"/>
      <w:marTop w:val="0"/>
      <w:marBottom w:val="0"/>
      <w:divBdr>
        <w:top w:val="none" w:sz="0" w:space="0" w:color="auto"/>
        <w:left w:val="none" w:sz="0" w:space="0" w:color="auto"/>
        <w:bottom w:val="none" w:sz="0" w:space="0" w:color="auto"/>
        <w:right w:val="none" w:sz="0" w:space="0" w:color="auto"/>
      </w:divBdr>
    </w:div>
    <w:div w:id="1107231956">
      <w:bodyDiv w:val="1"/>
      <w:marLeft w:val="0"/>
      <w:marRight w:val="0"/>
      <w:marTop w:val="0"/>
      <w:marBottom w:val="0"/>
      <w:divBdr>
        <w:top w:val="none" w:sz="0" w:space="0" w:color="auto"/>
        <w:left w:val="none" w:sz="0" w:space="0" w:color="auto"/>
        <w:bottom w:val="none" w:sz="0" w:space="0" w:color="auto"/>
        <w:right w:val="none" w:sz="0" w:space="0" w:color="auto"/>
      </w:divBdr>
    </w:div>
    <w:div w:id="1120106992">
      <w:bodyDiv w:val="1"/>
      <w:marLeft w:val="0"/>
      <w:marRight w:val="0"/>
      <w:marTop w:val="0"/>
      <w:marBottom w:val="0"/>
      <w:divBdr>
        <w:top w:val="none" w:sz="0" w:space="0" w:color="auto"/>
        <w:left w:val="none" w:sz="0" w:space="0" w:color="auto"/>
        <w:bottom w:val="none" w:sz="0" w:space="0" w:color="auto"/>
        <w:right w:val="none" w:sz="0" w:space="0" w:color="auto"/>
      </w:divBdr>
    </w:div>
    <w:div w:id="1291743843">
      <w:bodyDiv w:val="1"/>
      <w:marLeft w:val="0"/>
      <w:marRight w:val="0"/>
      <w:marTop w:val="0"/>
      <w:marBottom w:val="0"/>
      <w:divBdr>
        <w:top w:val="none" w:sz="0" w:space="0" w:color="auto"/>
        <w:left w:val="none" w:sz="0" w:space="0" w:color="auto"/>
        <w:bottom w:val="none" w:sz="0" w:space="0" w:color="auto"/>
        <w:right w:val="none" w:sz="0" w:space="0" w:color="auto"/>
      </w:divBdr>
    </w:div>
    <w:div w:id="1412237880">
      <w:bodyDiv w:val="1"/>
      <w:marLeft w:val="0"/>
      <w:marRight w:val="0"/>
      <w:marTop w:val="0"/>
      <w:marBottom w:val="0"/>
      <w:divBdr>
        <w:top w:val="none" w:sz="0" w:space="0" w:color="auto"/>
        <w:left w:val="none" w:sz="0" w:space="0" w:color="auto"/>
        <w:bottom w:val="none" w:sz="0" w:space="0" w:color="auto"/>
        <w:right w:val="none" w:sz="0" w:space="0" w:color="auto"/>
      </w:divBdr>
    </w:div>
    <w:div w:id="1453935538">
      <w:bodyDiv w:val="1"/>
      <w:marLeft w:val="0"/>
      <w:marRight w:val="0"/>
      <w:marTop w:val="0"/>
      <w:marBottom w:val="0"/>
      <w:divBdr>
        <w:top w:val="none" w:sz="0" w:space="0" w:color="auto"/>
        <w:left w:val="none" w:sz="0" w:space="0" w:color="auto"/>
        <w:bottom w:val="none" w:sz="0" w:space="0" w:color="auto"/>
        <w:right w:val="none" w:sz="0" w:space="0" w:color="auto"/>
      </w:divBdr>
    </w:div>
    <w:div w:id="1487358536">
      <w:bodyDiv w:val="1"/>
      <w:marLeft w:val="0"/>
      <w:marRight w:val="0"/>
      <w:marTop w:val="0"/>
      <w:marBottom w:val="0"/>
      <w:divBdr>
        <w:top w:val="none" w:sz="0" w:space="0" w:color="auto"/>
        <w:left w:val="none" w:sz="0" w:space="0" w:color="auto"/>
        <w:bottom w:val="none" w:sz="0" w:space="0" w:color="auto"/>
        <w:right w:val="none" w:sz="0" w:space="0" w:color="auto"/>
      </w:divBdr>
    </w:div>
    <w:div w:id="1518543723">
      <w:bodyDiv w:val="1"/>
      <w:marLeft w:val="0"/>
      <w:marRight w:val="0"/>
      <w:marTop w:val="0"/>
      <w:marBottom w:val="0"/>
      <w:divBdr>
        <w:top w:val="none" w:sz="0" w:space="0" w:color="auto"/>
        <w:left w:val="none" w:sz="0" w:space="0" w:color="auto"/>
        <w:bottom w:val="none" w:sz="0" w:space="0" w:color="auto"/>
        <w:right w:val="none" w:sz="0" w:space="0" w:color="auto"/>
      </w:divBdr>
    </w:div>
    <w:div w:id="1563560992">
      <w:bodyDiv w:val="1"/>
      <w:marLeft w:val="0"/>
      <w:marRight w:val="0"/>
      <w:marTop w:val="0"/>
      <w:marBottom w:val="0"/>
      <w:divBdr>
        <w:top w:val="none" w:sz="0" w:space="0" w:color="auto"/>
        <w:left w:val="none" w:sz="0" w:space="0" w:color="auto"/>
        <w:bottom w:val="none" w:sz="0" w:space="0" w:color="auto"/>
        <w:right w:val="none" w:sz="0" w:space="0" w:color="auto"/>
      </w:divBdr>
    </w:div>
    <w:div w:id="1574390388">
      <w:bodyDiv w:val="1"/>
      <w:marLeft w:val="0"/>
      <w:marRight w:val="0"/>
      <w:marTop w:val="0"/>
      <w:marBottom w:val="0"/>
      <w:divBdr>
        <w:top w:val="none" w:sz="0" w:space="0" w:color="auto"/>
        <w:left w:val="none" w:sz="0" w:space="0" w:color="auto"/>
        <w:bottom w:val="none" w:sz="0" w:space="0" w:color="auto"/>
        <w:right w:val="none" w:sz="0" w:space="0" w:color="auto"/>
      </w:divBdr>
    </w:div>
    <w:div w:id="1578438968">
      <w:bodyDiv w:val="1"/>
      <w:marLeft w:val="0"/>
      <w:marRight w:val="0"/>
      <w:marTop w:val="0"/>
      <w:marBottom w:val="0"/>
      <w:divBdr>
        <w:top w:val="none" w:sz="0" w:space="0" w:color="auto"/>
        <w:left w:val="none" w:sz="0" w:space="0" w:color="auto"/>
        <w:bottom w:val="none" w:sz="0" w:space="0" w:color="auto"/>
        <w:right w:val="none" w:sz="0" w:space="0" w:color="auto"/>
      </w:divBdr>
    </w:div>
    <w:div w:id="1706176889">
      <w:bodyDiv w:val="1"/>
      <w:marLeft w:val="0"/>
      <w:marRight w:val="0"/>
      <w:marTop w:val="0"/>
      <w:marBottom w:val="0"/>
      <w:divBdr>
        <w:top w:val="none" w:sz="0" w:space="0" w:color="auto"/>
        <w:left w:val="none" w:sz="0" w:space="0" w:color="auto"/>
        <w:bottom w:val="none" w:sz="0" w:space="0" w:color="auto"/>
        <w:right w:val="none" w:sz="0" w:space="0" w:color="auto"/>
      </w:divBdr>
    </w:div>
    <w:div w:id="1732270597">
      <w:bodyDiv w:val="1"/>
      <w:marLeft w:val="0"/>
      <w:marRight w:val="0"/>
      <w:marTop w:val="0"/>
      <w:marBottom w:val="0"/>
      <w:divBdr>
        <w:top w:val="none" w:sz="0" w:space="0" w:color="auto"/>
        <w:left w:val="none" w:sz="0" w:space="0" w:color="auto"/>
        <w:bottom w:val="none" w:sz="0" w:space="0" w:color="auto"/>
        <w:right w:val="none" w:sz="0" w:space="0" w:color="auto"/>
      </w:divBdr>
    </w:div>
    <w:div w:id="1764374270">
      <w:bodyDiv w:val="1"/>
      <w:marLeft w:val="0"/>
      <w:marRight w:val="0"/>
      <w:marTop w:val="0"/>
      <w:marBottom w:val="0"/>
      <w:divBdr>
        <w:top w:val="none" w:sz="0" w:space="0" w:color="auto"/>
        <w:left w:val="none" w:sz="0" w:space="0" w:color="auto"/>
        <w:bottom w:val="none" w:sz="0" w:space="0" w:color="auto"/>
        <w:right w:val="none" w:sz="0" w:space="0" w:color="auto"/>
      </w:divBdr>
    </w:div>
    <w:div w:id="1832721721">
      <w:bodyDiv w:val="1"/>
      <w:marLeft w:val="0"/>
      <w:marRight w:val="0"/>
      <w:marTop w:val="0"/>
      <w:marBottom w:val="0"/>
      <w:divBdr>
        <w:top w:val="none" w:sz="0" w:space="0" w:color="auto"/>
        <w:left w:val="none" w:sz="0" w:space="0" w:color="auto"/>
        <w:bottom w:val="none" w:sz="0" w:space="0" w:color="auto"/>
        <w:right w:val="none" w:sz="0" w:space="0" w:color="auto"/>
      </w:divBdr>
    </w:div>
    <w:div w:id="1848448031">
      <w:bodyDiv w:val="1"/>
      <w:marLeft w:val="0"/>
      <w:marRight w:val="0"/>
      <w:marTop w:val="0"/>
      <w:marBottom w:val="0"/>
      <w:divBdr>
        <w:top w:val="none" w:sz="0" w:space="0" w:color="auto"/>
        <w:left w:val="none" w:sz="0" w:space="0" w:color="auto"/>
        <w:bottom w:val="none" w:sz="0" w:space="0" w:color="auto"/>
        <w:right w:val="none" w:sz="0" w:space="0" w:color="auto"/>
      </w:divBdr>
    </w:div>
    <w:div w:id="1851484968">
      <w:bodyDiv w:val="1"/>
      <w:marLeft w:val="0"/>
      <w:marRight w:val="0"/>
      <w:marTop w:val="0"/>
      <w:marBottom w:val="0"/>
      <w:divBdr>
        <w:top w:val="none" w:sz="0" w:space="0" w:color="auto"/>
        <w:left w:val="none" w:sz="0" w:space="0" w:color="auto"/>
        <w:bottom w:val="none" w:sz="0" w:space="0" w:color="auto"/>
        <w:right w:val="none" w:sz="0" w:space="0" w:color="auto"/>
      </w:divBdr>
    </w:div>
    <w:div w:id="1883403647">
      <w:bodyDiv w:val="1"/>
      <w:marLeft w:val="0"/>
      <w:marRight w:val="0"/>
      <w:marTop w:val="0"/>
      <w:marBottom w:val="0"/>
      <w:divBdr>
        <w:top w:val="none" w:sz="0" w:space="0" w:color="auto"/>
        <w:left w:val="none" w:sz="0" w:space="0" w:color="auto"/>
        <w:bottom w:val="none" w:sz="0" w:space="0" w:color="auto"/>
        <w:right w:val="none" w:sz="0" w:space="0" w:color="auto"/>
      </w:divBdr>
    </w:div>
    <w:div w:id="1899318824">
      <w:bodyDiv w:val="1"/>
      <w:marLeft w:val="0"/>
      <w:marRight w:val="0"/>
      <w:marTop w:val="0"/>
      <w:marBottom w:val="0"/>
      <w:divBdr>
        <w:top w:val="none" w:sz="0" w:space="0" w:color="auto"/>
        <w:left w:val="none" w:sz="0" w:space="0" w:color="auto"/>
        <w:bottom w:val="none" w:sz="0" w:space="0" w:color="auto"/>
        <w:right w:val="none" w:sz="0" w:space="0" w:color="auto"/>
      </w:divBdr>
    </w:div>
    <w:div w:id="1925911642">
      <w:bodyDiv w:val="1"/>
      <w:marLeft w:val="0"/>
      <w:marRight w:val="0"/>
      <w:marTop w:val="0"/>
      <w:marBottom w:val="0"/>
      <w:divBdr>
        <w:top w:val="none" w:sz="0" w:space="0" w:color="auto"/>
        <w:left w:val="none" w:sz="0" w:space="0" w:color="auto"/>
        <w:bottom w:val="none" w:sz="0" w:space="0" w:color="auto"/>
        <w:right w:val="none" w:sz="0" w:space="0" w:color="auto"/>
      </w:divBdr>
    </w:div>
    <w:div w:id="1927417521">
      <w:bodyDiv w:val="1"/>
      <w:marLeft w:val="0"/>
      <w:marRight w:val="0"/>
      <w:marTop w:val="0"/>
      <w:marBottom w:val="0"/>
      <w:divBdr>
        <w:top w:val="none" w:sz="0" w:space="0" w:color="auto"/>
        <w:left w:val="none" w:sz="0" w:space="0" w:color="auto"/>
        <w:bottom w:val="none" w:sz="0" w:space="0" w:color="auto"/>
        <w:right w:val="none" w:sz="0" w:space="0" w:color="auto"/>
      </w:divBdr>
    </w:div>
    <w:div w:id="19542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wto.org/english/tratop_e/dispu_e/cases_e/ds467_e.htm" TargetMode="External"/><Relationship Id="rId2" Type="http://schemas.openxmlformats.org/officeDocument/2006/relationships/hyperlink" Target="https://www.wto.org/english/tratop_e/dispu_e/cases_e/ds458_e.htm" TargetMode="External"/><Relationship Id="rId1" Type="http://schemas.openxmlformats.org/officeDocument/2006/relationships/hyperlink" Target="https://www.wto.org/english/tratop_e/dispu_e/cases_e/ds441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C7B6-E519-4349-AEF9-8FE51741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6820</Characters>
  <Application>Microsoft Office Word</Application>
  <DocSecurity>0</DocSecurity>
  <Lines>252</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2017-11-21T20:09:00Z</dcterms:created>
  <dcterms:modified xsi:type="dcterms:W3CDTF">2017-11-29T20:42:00Z</dcterms:modified>
</cp:coreProperties>
</file>